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b/>
          <w:i w:val="0"/>
          <w:iCs w:val="0"/>
          <w:caps w:val="0"/>
          <w:color w:val="333333"/>
          <w:spacing w:val="0"/>
          <w:kern w:val="2"/>
          <w:sz w:val="32"/>
          <w:szCs w:val="32"/>
          <w:shd w:val="clear" w:color="auto" w:fill="FFFFFF"/>
          <w:lang w:val="en-US" w:eastAsia="zh-CN" w:bidi="ar-SA"/>
        </w:rPr>
      </w:pPr>
      <w:r>
        <w:rPr>
          <w:rFonts w:hint="default" w:ascii="Times New Roman" w:hAnsi="Times New Roman" w:eastAsia="方正仿宋_GBK" w:cs="Times New Roman"/>
          <w:b/>
          <w:i w:val="0"/>
          <w:iCs w:val="0"/>
          <w:caps w:val="0"/>
          <w:color w:val="333333"/>
          <w:spacing w:val="0"/>
          <w:kern w:val="2"/>
          <w:sz w:val="32"/>
          <w:szCs w:val="32"/>
          <w:shd w:val="clear" w:color="auto" w:fill="FFFFFF"/>
          <w:lang w:val="en-US" w:eastAsia="zh-CN" w:bidi="ar-SA"/>
        </w:rPr>
        <w:t>附件：</w:t>
      </w: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选取规则：</w:t>
      </w: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综合评审。</w:t>
      </w: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其他：</w:t>
      </w: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（一）资格条件</w:t>
      </w: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1、须具有有效的营业执照并经营范围中包含造价咨询相关业务内容。</w:t>
      </w: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2、机构须在宿州市政务服务管理局建设运行的“宿州市网上中介超市”中介机构名单中。</w:t>
      </w: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3、本项目工作组负责人具有国家注册造价师（或一级造价工程师）资格。</w:t>
      </w: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4、项目负责人及其他拟派人员具备相应造价资格且2023年以来连续8个月在投标单位缴纳社保。</w:t>
      </w: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6、曾参与本结算审计项目清单编制、控制价审核、监理等环节的公司应回避，不得报名。</w:t>
      </w: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（二）、服务要求</w:t>
      </w: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1、中选后，双方签订服务合同，履行合同约定并按照我局要求时限要求保质保量完成审计工作。</w:t>
      </w: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2、审计要专业、实事求是，结论应真实、可靠，凡经市审计局抽查不合格的，我局将该审计机构列入黑名单，并向有关部门推送。</w:t>
      </w:r>
    </w:p>
    <w:p>
      <w:pPr>
        <w:pStyle w:val="2"/>
        <w:rPr>
          <w:rFonts w:hint="default" w:ascii="Times New Roman" w:hAnsi="Times New Roman" w:cs="Times New Roman"/>
          <w:lang w:eastAsia="zh-CN"/>
        </w:rPr>
      </w:pPr>
    </w:p>
    <w:p>
      <w:pPr>
        <w:pStyle w:val="6"/>
        <w:bidi w:val="0"/>
        <w:jc w:val="cente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t>评分标准</w:t>
      </w:r>
    </w:p>
    <w:tbl>
      <w:tblPr>
        <w:tblStyle w:val="12"/>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6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693" w:type="dxa"/>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方正仿宋_GBK" w:hAnsi="方正仿宋_GBK" w:eastAsia="方正仿宋_GBK" w:cs="方正仿宋_GBK"/>
                <w:color w:val="000000"/>
                <w:sz w:val="21"/>
                <w:szCs w:val="21"/>
                <w:lang w:eastAsia="zh-CN"/>
              </w:rPr>
            </w:pPr>
            <w:r>
              <w:rPr>
                <w:rFonts w:hint="eastAsia" w:ascii="方正仿宋_GBK" w:hAnsi="方正仿宋_GBK" w:eastAsia="方正仿宋_GBK" w:cs="方正仿宋_GBK"/>
                <w:color w:val="000000"/>
                <w:sz w:val="21"/>
                <w:szCs w:val="21"/>
                <w:lang w:eastAsia="zh-CN"/>
              </w:rPr>
              <w:t>分值</w:t>
            </w:r>
          </w:p>
        </w:tc>
        <w:tc>
          <w:tcPr>
            <w:tcW w:w="6407" w:type="dxa"/>
            <w:noWrap w:val="0"/>
            <w:vAlign w:val="center"/>
          </w:tcPr>
          <w:p>
            <w:pPr>
              <w:pStyle w:val="2"/>
              <w:keepNext w:val="0"/>
              <w:keepLines w:val="0"/>
              <w:pageBreakBefore w:val="0"/>
              <w:kinsoku/>
              <w:wordWrap/>
              <w:overflowPunct/>
              <w:topLinePunct w:val="0"/>
              <w:bidi w:val="0"/>
              <w:adjustRightInd/>
              <w:snapToGrid/>
              <w:spacing w:line="300" w:lineRule="exact"/>
              <w:ind w:left="0" w:leftChars="0" w:firstLine="0" w:firstLineChars="0"/>
              <w:jc w:val="center"/>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2693" w:type="dxa"/>
            <w:noWrap w:val="0"/>
            <w:vAlign w:val="center"/>
          </w:tcPr>
          <w:p>
            <w:pPr>
              <w:keepNext w:val="0"/>
              <w:keepLines w:val="0"/>
              <w:pageBreakBefore w:val="0"/>
              <w:kinsoku/>
              <w:wordWrap/>
              <w:overflowPunct/>
              <w:topLinePunct w:val="0"/>
              <w:bidi w:val="0"/>
              <w:adjustRightInd/>
              <w:snapToGrid/>
              <w:spacing w:line="300" w:lineRule="exact"/>
              <w:textAlignment w:val="auto"/>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企业信用评价（</w:t>
            </w:r>
            <w:r>
              <w:rPr>
                <w:rFonts w:hint="eastAsia" w:ascii="方正仿宋_GBK" w:hAnsi="方正仿宋_GBK" w:eastAsia="方正仿宋_GBK" w:cs="方正仿宋_GBK"/>
                <w:color w:val="000000"/>
                <w:sz w:val="21"/>
                <w:szCs w:val="21"/>
                <w:lang w:val="en-US" w:eastAsia="zh-CN"/>
              </w:rPr>
              <w:t>20</w:t>
            </w:r>
            <w:r>
              <w:rPr>
                <w:rFonts w:hint="eastAsia" w:ascii="方正仿宋_GBK" w:hAnsi="方正仿宋_GBK" w:eastAsia="方正仿宋_GBK" w:cs="方正仿宋_GBK"/>
                <w:color w:val="000000"/>
                <w:sz w:val="21"/>
                <w:szCs w:val="21"/>
              </w:rPr>
              <w:t>分）</w:t>
            </w:r>
          </w:p>
        </w:tc>
        <w:tc>
          <w:tcPr>
            <w:tcW w:w="6407" w:type="dxa"/>
            <w:noWrap w:val="0"/>
            <w:vAlign w:val="center"/>
          </w:tcPr>
          <w:p>
            <w:pPr>
              <w:keepNext w:val="0"/>
              <w:keepLines w:val="0"/>
              <w:pageBreakBefore w:val="0"/>
              <w:kinsoku/>
              <w:wordWrap/>
              <w:overflowPunct/>
              <w:topLinePunct w:val="0"/>
              <w:bidi w:val="0"/>
              <w:adjustRightInd/>
              <w:snapToGrid/>
              <w:spacing w:line="300" w:lineRule="exact"/>
              <w:jc w:val="left"/>
              <w:textAlignment w:val="auto"/>
              <w:rPr>
                <w:rFonts w:hint="eastAsia" w:ascii="方正仿宋_GBK" w:hAnsi="方正仿宋_GBK" w:eastAsia="方正仿宋_GBK" w:cs="方正仿宋_GBK"/>
                <w:bCs w:val="0"/>
                <w:color w:val="000000"/>
                <w:sz w:val="21"/>
                <w:szCs w:val="21"/>
              </w:rPr>
            </w:pPr>
            <w:r>
              <w:rPr>
                <w:rFonts w:hint="eastAsia" w:ascii="方正仿宋_GBK" w:hAnsi="方正仿宋_GBK" w:eastAsia="方正仿宋_GBK" w:cs="方正仿宋_GBK"/>
                <w:color w:val="000000"/>
                <w:sz w:val="21"/>
                <w:szCs w:val="21"/>
              </w:rPr>
              <w:t>投标人获得</w:t>
            </w:r>
            <w:r>
              <w:rPr>
                <w:rFonts w:hint="eastAsia" w:ascii="方正仿宋_GBK" w:hAnsi="方正仿宋_GBK" w:eastAsia="方正仿宋_GBK" w:cs="方正仿宋_GBK"/>
                <w:color w:val="000000"/>
                <w:sz w:val="21"/>
                <w:szCs w:val="21"/>
                <w:lang w:eastAsia="zh-CN"/>
              </w:rPr>
              <w:t>省级及以上建设行政主管部门评定的工程造价咨询企业信用评价等级最优的得</w:t>
            </w:r>
            <w:r>
              <w:rPr>
                <w:rFonts w:hint="eastAsia" w:ascii="方正仿宋_GBK" w:hAnsi="方正仿宋_GBK" w:eastAsia="方正仿宋_GBK" w:cs="方正仿宋_GBK"/>
                <w:color w:val="000000"/>
                <w:sz w:val="21"/>
                <w:szCs w:val="21"/>
                <w:lang w:val="en-US" w:eastAsia="zh-CN"/>
              </w:rPr>
              <w:t>20分，次优的得15分，第三优秀的得10分。</w:t>
            </w:r>
          </w:p>
          <w:p>
            <w:pPr>
              <w:pStyle w:val="2"/>
              <w:keepNext w:val="0"/>
              <w:keepLines w:val="0"/>
              <w:pageBreakBefore w:val="0"/>
              <w:kinsoku/>
              <w:wordWrap/>
              <w:overflowPunct/>
              <w:topLinePunct w:val="0"/>
              <w:bidi w:val="0"/>
              <w:adjustRightInd/>
              <w:snapToGrid/>
              <w:spacing w:line="300" w:lineRule="exact"/>
              <w:ind w:left="0" w:leftChars="0" w:firstLine="0" w:firstLineChars="0"/>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bCs w:val="0"/>
                <w:color w:val="000000"/>
                <w:sz w:val="21"/>
                <w:szCs w:val="21"/>
              </w:rPr>
              <w:t>注：投标人需提供</w:t>
            </w:r>
            <w:r>
              <w:rPr>
                <w:rFonts w:hint="eastAsia" w:ascii="方正仿宋_GBK" w:hAnsi="方正仿宋_GBK" w:eastAsia="方正仿宋_GBK" w:cs="方正仿宋_GBK"/>
                <w:bCs w:val="0"/>
                <w:color w:val="000000"/>
                <w:sz w:val="21"/>
                <w:szCs w:val="21"/>
                <w:lang w:eastAsia="zh-CN"/>
              </w:rPr>
              <w:t>开标日</w:t>
            </w:r>
            <w:r>
              <w:rPr>
                <w:rFonts w:hint="eastAsia" w:ascii="方正仿宋_GBK" w:hAnsi="方正仿宋_GBK" w:eastAsia="方正仿宋_GBK" w:cs="方正仿宋_GBK"/>
                <w:bCs w:val="0"/>
                <w:color w:val="000000"/>
                <w:sz w:val="21"/>
                <w:szCs w:val="21"/>
                <w:u w:val="none"/>
                <w:lang w:val="en-US" w:eastAsia="zh-CN"/>
              </w:rPr>
              <w:t>前</w:t>
            </w:r>
            <w:r>
              <w:rPr>
                <w:rFonts w:hint="eastAsia" w:ascii="方正仿宋_GBK" w:hAnsi="方正仿宋_GBK" w:eastAsia="方正仿宋_GBK" w:cs="方正仿宋_GBK"/>
                <w:bCs w:val="0"/>
                <w:color w:val="000000"/>
                <w:sz w:val="21"/>
                <w:szCs w:val="21"/>
                <w:u w:val="single"/>
                <w:lang w:val="en-US" w:eastAsia="zh-CN"/>
              </w:rPr>
              <w:t xml:space="preserve"> 1 </w:t>
            </w:r>
            <w:r>
              <w:rPr>
                <w:rFonts w:hint="eastAsia" w:ascii="方正仿宋_GBK" w:hAnsi="方正仿宋_GBK" w:eastAsia="方正仿宋_GBK" w:cs="方正仿宋_GBK"/>
                <w:bCs w:val="0"/>
                <w:color w:val="000000"/>
                <w:sz w:val="21"/>
                <w:szCs w:val="21"/>
                <w:lang w:val="en-US" w:eastAsia="zh-CN"/>
              </w:rPr>
              <w:t>天内公开可查询</w:t>
            </w:r>
            <w:r>
              <w:rPr>
                <w:rFonts w:hint="eastAsia" w:ascii="方正仿宋_GBK" w:hAnsi="方正仿宋_GBK" w:eastAsia="方正仿宋_GBK" w:cs="方正仿宋_GBK"/>
                <w:bCs w:val="0"/>
                <w:color w:val="000000"/>
                <w:sz w:val="21"/>
                <w:szCs w:val="21"/>
              </w:rPr>
              <w:t>的企业信用</w:t>
            </w:r>
            <w:r>
              <w:rPr>
                <w:rFonts w:hint="eastAsia" w:ascii="方正仿宋_GBK" w:hAnsi="方正仿宋_GBK" w:eastAsia="方正仿宋_GBK" w:cs="方正仿宋_GBK"/>
                <w:bCs w:val="0"/>
                <w:color w:val="000000"/>
                <w:sz w:val="21"/>
                <w:szCs w:val="21"/>
                <w:lang w:eastAsia="zh-CN"/>
              </w:rPr>
              <w:t>评价</w:t>
            </w:r>
            <w:r>
              <w:rPr>
                <w:rFonts w:hint="eastAsia" w:ascii="方正仿宋_GBK" w:hAnsi="方正仿宋_GBK" w:eastAsia="方正仿宋_GBK" w:cs="方正仿宋_GBK"/>
                <w:bCs w:val="0"/>
                <w:color w:val="000000"/>
                <w:sz w:val="21"/>
                <w:szCs w:val="21"/>
              </w:rPr>
              <w:t>等级证</w:t>
            </w:r>
            <w:r>
              <w:rPr>
                <w:rFonts w:hint="eastAsia" w:ascii="方正仿宋_GBK" w:hAnsi="方正仿宋_GBK" w:eastAsia="方正仿宋_GBK" w:cs="方正仿宋_GBK"/>
                <w:bCs w:val="0"/>
                <w:color w:val="000000"/>
                <w:sz w:val="21"/>
                <w:szCs w:val="21"/>
                <w:lang w:val="en-US" w:eastAsia="zh-CN"/>
              </w:rPr>
              <w:t>明</w:t>
            </w:r>
            <w:r>
              <w:rPr>
                <w:rFonts w:hint="eastAsia" w:ascii="方正仿宋_GBK" w:hAnsi="方正仿宋_GBK" w:eastAsia="方正仿宋_GBK" w:cs="方正仿宋_GBK"/>
                <w:bCs w:val="0"/>
                <w:color w:val="000000"/>
                <w:sz w:val="21"/>
                <w:szCs w:val="21"/>
              </w:rPr>
              <w:t>。每个省</w:t>
            </w:r>
            <w:r>
              <w:rPr>
                <w:rFonts w:hint="eastAsia" w:ascii="方正仿宋_GBK" w:hAnsi="方正仿宋_GBK" w:eastAsia="方正仿宋_GBK" w:cs="方正仿宋_GBK"/>
                <w:bCs w:val="0"/>
                <w:color w:val="000000"/>
                <w:sz w:val="21"/>
                <w:szCs w:val="21"/>
                <w:lang w:eastAsia="zh-CN"/>
              </w:rPr>
              <w:t>份</w:t>
            </w:r>
            <w:r>
              <w:rPr>
                <w:rFonts w:hint="eastAsia" w:ascii="方正仿宋_GBK" w:hAnsi="方正仿宋_GBK" w:eastAsia="方正仿宋_GBK" w:cs="方正仿宋_GBK"/>
                <w:bCs w:val="0"/>
                <w:color w:val="000000"/>
                <w:sz w:val="21"/>
                <w:szCs w:val="21"/>
              </w:rPr>
              <w:t>信用分最高级为最优</w:t>
            </w:r>
            <w:r>
              <w:rPr>
                <w:rFonts w:hint="eastAsia" w:ascii="方正仿宋_GBK" w:hAnsi="方正仿宋_GBK" w:eastAsia="方正仿宋_GBK" w:cs="方正仿宋_GBK"/>
                <w:bCs w:val="0"/>
                <w:color w:val="000000"/>
                <w:sz w:val="21"/>
                <w:szCs w:val="21"/>
                <w:lang w:eastAsia="zh-CN"/>
              </w:rPr>
              <w:t>，</w:t>
            </w:r>
            <w:r>
              <w:rPr>
                <w:rFonts w:hint="eastAsia" w:ascii="方正仿宋_GBK" w:hAnsi="方正仿宋_GBK" w:eastAsia="方正仿宋_GBK" w:cs="方正仿宋_GBK"/>
                <w:bCs w:val="0"/>
                <w:color w:val="000000"/>
                <w:sz w:val="21"/>
                <w:szCs w:val="21"/>
              </w:rPr>
              <w:t>次优为第二第三档</w:t>
            </w:r>
            <w:r>
              <w:rPr>
                <w:rFonts w:hint="eastAsia" w:ascii="方正仿宋_GBK" w:hAnsi="方正仿宋_GBK" w:eastAsia="方正仿宋_GBK" w:cs="方正仿宋_GBK"/>
                <w:bCs w:val="0"/>
                <w:color w:val="000000"/>
                <w:sz w:val="21"/>
                <w:szCs w:val="21"/>
                <w:lang w:eastAsia="zh-CN"/>
              </w:rPr>
              <w:t>，</w:t>
            </w:r>
            <w:r>
              <w:rPr>
                <w:rFonts w:hint="eastAsia" w:ascii="方正仿宋_GBK" w:hAnsi="方正仿宋_GBK" w:eastAsia="方正仿宋_GBK" w:cs="方正仿宋_GBK"/>
                <w:bCs w:val="0"/>
                <w:color w:val="000000"/>
                <w:sz w:val="21"/>
                <w:szCs w:val="21"/>
              </w:rPr>
              <w:t>优秀为最后两档</w:t>
            </w:r>
            <w:r>
              <w:rPr>
                <w:rFonts w:hint="eastAsia" w:ascii="方正仿宋_GBK" w:hAnsi="方正仿宋_GBK" w:eastAsia="方正仿宋_GBK" w:cs="方正仿宋_GBK"/>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2693" w:type="dxa"/>
            <w:noWrap w:val="0"/>
            <w:vAlign w:val="center"/>
          </w:tcPr>
          <w:p>
            <w:pPr>
              <w:keepNext w:val="0"/>
              <w:keepLines w:val="0"/>
              <w:pageBreakBefore w:val="0"/>
              <w:kinsoku/>
              <w:wordWrap/>
              <w:overflowPunct/>
              <w:topLinePunct w:val="0"/>
              <w:bidi w:val="0"/>
              <w:adjustRightInd/>
              <w:snapToGrid/>
              <w:spacing w:line="300" w:lineRule="exact"/>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sz w:val="21"/>
                <w:szCs w:val="21"/>
                <w:lang w:eastAsia="zh-CN"/>
              </w:rPr>
              <w:t>企业能力</w:t>
            </w:r>
            <w:r>
              <w:rPr>
                <w:rFonts w:hint="eastAsia" w:ascii="方正仿宋_GBK" w:hAnsi="方正仿宋_GBK" w:eastAsia="方正仿宋_GBK" w:cs="方正仿宋_GBK"/>
                <w:color w:val="000000"/>
                <w:sz w:val="21"/>
                <w:szCs w:val="21"/>
              </w:rPr>
              <w:t>（</w:t>
            </w:r>
            <w:r>
              <w:rPr>
                <w:rFonts w:hint="eastAsia" w:ascii="方正仿宋_GBK" w:hAnsi="方正仿宋_GBK" w:eastAsia="方正仿宋_GBK" w:cs="方正仿宋_GBK"/>
                <w:color w:val="000000"/>
                <w:sz w:val="21"/>
                <w:szCs w:val="21"/>
                <w:lang w:val="en-US" w:eastAsia="zh-CN"/>
              </w:rPr>
              <w:t>10</w:t>
            </w:r>
            <w:r>
              <w:rPr>
                <w:rFonts w:hint="eastAsia" w:ascii="方正仿宋_GBK" w:hAnsi="方正仿宋_GBK" w:eastAsia="方正仿宋_GBK" w:cs="方正仿宋_GBK"/>
                <w:color w:val="000000"/>
                <w:sz w:val="21"/>
                <w:szCs w:val="21"/>
              </w:rPr>
              <w:t>分）</w:t>
            </w:r>
          </w:p>
        </w:tc>
        <w:tc>
          <w:tcPr>
            <w:tcW w:w="6407" w:type="dxa"/>
            <w:noWrap w:val="0"/>
            <w:vAlign w:val="center"/>
          </w:tcPr>
          <w:p>
            <w:pPr>
              <w:pStyle w:val="2"/>
              <w:keepNext w:val="0"/>
              <w:keepLines w:val="0"/>
              <w:pageBreakBefore w:val="0"/>
              <w:kinsoku/>
              <w:wordWrap/>
              <w:overflowPunct/>
              <w:topLinePunct w:val="0"/>
              <w:bidi w:val="0"/>
              <w:adjustRightInd/>
              <w:snapToGrid/>
              <w:spacing w:line="300" w:lineRule="exact"/>
              <w:ind w:left="0" w:leftChars="0" w:firstLine="0" w:firstLineChars="0"/>
              <w:textAlignment w:val="auto"/>
              <w:rPr>
                <w:rFonts w:hint="eastAsia" w:ascii="方正仿宋_GBK" w:hAnsi="方正仿宋_GBK" w:eastAsia="方正仿宋_GBK" w:cs="方正仿宋_GBK"/>
                <w:bCs w:val="0"/>
                <w:color w:val="000000"/>
                <w:sz w:val="21"/>
                <w:szCs w:val="21"/>
                <w:lang w:val="en-US" w:eastAsia="zh-CN"/>
              </w:rPr>
            </w:pPr>
            <w:r>
              <w:rPr>
                <w:rFonts w:hint="eastAsia" w:ascii="方正仿宋_GBK" w:hAnsi="方正仿宋_GBK" w:eastAsia="方正仿宋_GBK" w:cs="方正仿宋_GBK"/>
                <w:bCs w:val="0"/>
                <w:color w:val="000000"/>
                <w:sz w:val="21"/>
                <w:szCs w:val="21"/>
              </w:rPr>
              <w:t>投标</w:t>
            </w:r>
            <w:r>
              <w:rPr>
                <w:rFonts w:hint="eastAsia" w:ascii="方正仿宋_GBK" w:hAnsi="方正仿宋_GBK" w:eastAsia="方正仿宋_GBK" w:cs="方正仿宋_GBK"/>
                <w:bCs w:val="0"/>
                <w:color w:val="000000"/>
                <w:sz w:val="21"/>
                <w:szCs w:val="21"/>
                <w:lang w:eastAsia="zh-CN"/>
              </w:rPr>
              <w:t>人</w:t>
            </w:r>
            <w:r>
              <w:rPr>
                <w:rFonts w:hint="eastAsia" w:ascii="方正仿宋_GBK" w:hAnsi="方正仿宋_GBK" w:eastAsia="方正仿宋_GBK" w:cs="方正仿宋_GBK"/>
                <w:bCs w:val="0"/>
                <w:color w:val="000000"/>
                <w:sz w:val="21"/>
                <w:szCs w:val="21"/>
              </w:rPr>
              <w:t>20</w:t>
            </w:r>
            <w:r>
              <w:rPr>
                <w:rFonts w:hint="eastAsia" w:ascii="方正仿宋_GBK" w:hAnsi="方正仿宋_GBK" w:eastAsia="方正仿宋_GBK" w:cs="方正仿宋_GBK"/>
                <w:bCs w:val="0"/>
                <w:color w:val="000000"/>
                <w:sz w:val="21"/>
                <w:szCs w:val="21"/>
                <w:lang w:val="en-US" w:eastAsia="zh-CN"/>
              </w:rPr>
              <w:t>20</w:t>
            </w:r>
            <w:r>
              <w:rPr>
                <w:rFonts w:hint="eastAsia" w:ascii="方正仿宋_GBK" w:hAnsi="方正仿宋_GBK" w:eastAsia="方正仿宋_GBK" w:cs="方正仿宋_GBK"/>
                <w:bCs w:val="0"/>
                <w:color w:val="000000"/>
                <w:sz w:val="21"/>
                <w:szCs w:val="21"/>
              </w:rPr>
              <w:t>年1月1日以来企业获得</w:t>
            </w:r>
            <w:r>
              <w:rPr>
                <w:rFonts w:hint="eastAsia" w:ascii="方正仿宋_GBK" w:hAnsi="方正仿宋_GBK" w:eastAsia="方正仿宋_GBK" w:cs="方正仿宋_GBK"/>
                <w:bCs w:val="0"/>
                <w:color w:val="000000"/>
                <w:sz w:val="21"/>
                <w:szCs w:val="21"/>
                <w:lang w:eastAsia="zh-CN"/>
              </w:rPr>
              <w:t>省级</w:t>
            </w:r>
            <w:r>
              <w:rPr>
                <w:rFonts w:hint="eastAsia" w:ascii="方正仿宋_GBK" w:hAnsi="方正仿宋_GBK" w:eastAsia="方正仿宋_GBK" w:cs="方正仿宋_GBK"/>
                <w:bCs w:val="0"/>
                <w:color w:val="000000"/>
                <w:sz w:val="21"/>
                <w:szCs w:val="21"/>
              </w:rPr>
              <w:t>及以上行政主管部门或在国内依法登记注册的行业协会（学会）</w:t>
            </w:r>
            <w:r>
              <w:rPr>
                <w:rFonts w:hint="eastAsia" w:ascii="方正仿宋_GBK" w:hAnsi="方正仿宋_GBK" w:eastAsia="方正仿宋_GBK" w:cs="方正仿宋_GBK"/>
                <w:bCs w:val="0"/>
                <w:color w:val="000000"/>
                <w:sz w:val="21"/>
                <w:szCs w:val="21"/>
                <w:lang w:eastAsia="zh-CN"/>
              </w:rPr>
              <w:t>“优秀企业”称号得</w:t>
            </w:r>
            <w:r>
              <w:rPr>
                <w:rFonts w:hint="eastAsia" w:ascii="方正仿宋_GBK" w:hAnsi="方正仿宋_GBK" w:eastAsia="方正仿宋_GBK" w:cs="方正仿宋_GBK"/>
                <w:bCs w:val="0"/>
                <w:color w:val="000000"/>
                <w:sz w:val="21"/>
                <w:szCs w:val="21"/>
                <w:lang w:val="en-US" w:eastAsia="zh-CN"/>
              </w:rPr>
              <w:t>10分。</w:t>
            </w:r>
          </w:p>
          <w:p>
            <w:pPr>
              <w:pStyle w:val="2"/>
              <w:keepNext w:val="0"/>
              <w:keepLines w:val="0"/>
              <w:pageBreakBefore w:val="0"/>
              <w:kinsoku/>
              <w:wordWrap/>
              <w:overflowPunct/>
              <w:topLinePunct w:val="0"/>
              <w:bidi w:val="0"/>
              <w:adjustRightInd/>
              <w:snapToGrid/>
              <w:spacing w:line="300" w:lineRule="exact"/>
              <w:ind w:left="0" w:leftChars="0" w:firstLine="0" w:firstLineChars="0"/>
              <w:textAlignment w:val="auto"/>
              <w:rPr>
                <w:rFonts w:hint="eastAsia" w:ascii="方正仿宋_GBK" w:hAnsi="方正仿宋_GBK" w:eastAsia="方正仿宋_GBK" w:cs="方正仿宋_GBK"/>
                <w:bCs w:val="0"/>
                <w:color w:val="000000"/>
                <w:kern w:val="2"/>
                <w:sz w:val="21"/>
                <w:szCs w:val="21"/>
                <w:lang w:val="en-US" w:eastAsia="zh-CN" w:bidi="ar-SA"/>
              </w:rPr>
            </w:pPr>
            <w:r>
              <w:rPr>
                <w:rFonts w:hint="eastAsia" w:ascii="方正仿宋_GBK" w:hAnsi="方正仿宋_GBK" w:eastAsia="方正仿宋_GBK" w:cs="方正仿宋_GBK"/>
                <w:bCs w:val="0"/>
                <w:color w:val="000000"/>
                <w:sz w:val="21"/>
                <w:szCs w:val="21"/>
              </w:rPr>
              <w:t>注：投标时需提供获奖证书复印件并加盖单位公章，未提供不得分。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693" w:type="dxa"/>
            <w:noWrap w:val="0"/>
            <w:vAlign w:val="center"/>
          </w:tcPr>
          <w:p>
            <w:pPr>
              <w:keepNext w:val="0"/>
              <w:keepLines w:val="0"/>
              <w:pageBreakBefore w:val="0"/>
              <w:kinsoku/>
              <w:wordWrap/>
              <w:overflowPunct/>
              <w:topLinePunct w:val="0"/>
              <w:bidi w:val="0"/>
              <w:adjustRightInd/>
              <w:snapToGrid/>
              <w:spacing w:line="300" w:lineRule="exact"/>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sz w:val="21"/>
                <w:szCs w:val="21"/>
              </w:rPr>
              <w:t>项目组团队实力（</w:t>
            </w:r>
            <w:r>
              <w:rPr>
                <w:rFonts w:hint="eastAsia" w:ascii="方正仿宋_GBK" w:hAnsi="方正仿宋_GBK" w:eastAsia="方正仿宋_GBK" w:cs="方正仿宋_GBK"/>
                <w:color w:val="000000"/>
                <w:sz w:val="21"/>
                <w:szCs w:val="21"/>
                <w:lang w:val="en-US" w:eastAsia="zh-CN"/>
              </w:rPr>
              <w:t>20</w:t>
            </w:r>
            <w:r>
              <w:rPr>
                <w:rFonts w:hint="eastAsia" w:ascii="方正仿宋_GBK" w:hAnsi="方正仿宋_GBK" w:eastAsia="方正仿宋_GBK" w:cs="方正仿宋_GBK"/>
                <w:color w:val="000000"/>
                <w:sz w:val="21"/>
                <w:szCs w:val="21"/>
              </w:rPr>
              <w:t>分）</w:t>
            </w:r>
          </w:p>
        </w:tc>
        <w:tc>
          <w:tcPr>
            <w:tcW w:w="6407" w:type="dxa"/>
            <w:noWrap w:val="0"/>
            <w:vAlign w:val="center"/>
          </w:tcPr>
          <w:p>
            <w:pPr>
              <w:keepNext w:val="0"/>
              <w:keepLines w:val="0"/>
              <w:pageBreakBefore w:val="0"/>
              <w:kinsoku/>
              <w:wordWrap/>
              <w:overflowPunct/>
              <w:topLinePunct w:val="0"/>
              <w:autoSpaceDE w:val="0"/>
              <w:autoSpaceDN w:val="0"/>
              <w:bidi w:val="0"/>
              <w:adjustRightInd/>
              <w:snapToGrid/>
              <w:spacing w:line="300" w:lineRule="exact"/>
              <w:jc w:val="left"/>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1、满足资格条件项目配备人员要求的得基本分</w:t>
            </w:r>
            <w:r>
              <w:rPr>
                <w:rFonts w:hint="eastAsia" w:ascii="方正仿宋_GBK" w:hAnsi="方正仿宋_GBK" w:eastAsia="方正仿宋_GBK" w:cs="方正仿宋_GBK"/>
                <w:color w:val="000000"/>
                <w:kern w:val="0"/>
                <w:sz w:val="21"/>
                <w:szCs w:val="21"/>
                <w:lang w:val="en-US" w:eastAsia="zh-CN"/>
              </w:rPr>
              <w:t>12</w:t>
            </w:r>
            <w:r>
              <w:rPr>
                <w:rFonts w:hint="eastAsia" w:ascii="方正仿宋_GBK" w:hAnsi="方正仿宋_GBK" w:eastAsia="方正仿宋_GBK" w:cs="方正仿宋_GBK"/>
                <w:color w:val="000000"/>
                <w:kern w:val="0"/>
                <w:sz w:val="21"/>
                <w:szCs w:val="21"/>
              </w:rPr>
              <w:t>分；</w:t>
            </w:r>
          </w:p>
          <w:p>
            <w:pPr>
              <w:keepNext w:val="0"/>
              <w:keepLines w:val="0"/>
              <w:pageBreakBefore w:val="0"/>
              <w:kinsoku/>
              <w:wordWrap/>
              <w:overflowPunct/>
              <w:topLinePunct w:val="0"/>
              <w:bidi w:val="0"/>
              <w:adjustRightInd/>
              <w:snapToGrid/>
              <w:spacing w:line="300" w:lineRule="exact"/>
              <w:jc w:val="left"/>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2、所配备的注册造价工程师中，</w:t>
            </w:r>
            <w:r>
              <w:rPr>
                <w:rFonts w:hint="eastAsia" w:ascii="方正仿宋_GBK" w:hAnsi="方正仿宋_GBK" w:eastAsia="方正仿宋_GBK" w:cs="方正仿宋_GBK"/>
                <w:color w:val="000000"/>
                <w:kern w:val="0"/>
                <w:sz w:val="21"/>
                <w:szCs w:val="21"/>
                <w:lang w:eastAsia="zh-CN"/>
              </w:rPr>
              <w:t>同时具有安装和土建一级</w:t>
            </w:r>
            <w:r>
              <w:rPr>
                <w:rFonts w:hint="eastAsia" w:ascii="方正仿宋_GBK" w:hAnsi="方正仿宋_GBK" w:eastAsia="方正仿宋_GBK" w:cs="方正仿宋_GBK"/>
                <w:color w:val="000000"/>
                <w:kern w:val="0"/>
                <w:sz w:val="21"/>
                <w:szCs w:val="21"/>
              </w:rPr>
              <w:t>造价工程师得8分。</w:t>
            </w:r>
          </w:p>
          <w:p>
            <w:pPr>
              <w:keepNext w:val="0"/>
              <w:keepLines w:val="0"/>
              <w:pageBreakBefore w:val="0"/>
              <w:kinsoku/>
              <w:wordWrap/>
              <w:overflowPunct/>
              <w:topLinePunct w:val="0"/>
              <w:autoSpaceDE w:val="0"/>
              <w:autoSpaceDN w:val="0"/>
              <w:bidi w:val="0"/>
              <w:adjustRightInd/>
              <w:snapToGrid/>
              <w:spacing w:line="300" w:lineRule="exact"/>
              <w:jc w:val="left"/>
              <w:textAlignment w:val="auto"/>
              <w:rPr>
                <w:rFonts w:hint="eastAsia" w:ascii="方正仿宋_GBK" w:hAnsi="方正仿宋_GBK" w:eastAsia="方正仿宋_GBK" w:cs="方正仿宋_GBK"/>
                <w:bCs/>
                <w:color w:val="000000"/>
                <w:sz w:val="21"/>
                <w:szCs w:val="21"/>
              </w:rPr>
            </w:pPr>
            <w:r>
              <w:rPr>
                <w:rFonts w:hint="eastAsia" w:ascii="方正仿宋_GBK" w:hAnsi="方正仿宋_GBK" w:eastAsia="方正仿宋_GBK" w:cs="方正仿宋_GBK"/>
                <w:color w:val="000000"/>
                <w:kern w:val="0"/>
                <w:sz w:val="21"/>
                <w:szCs w:val="21"/>
              </w:rPr>
              <w:t>注：提供相关证书原件扫描件和</w:t>
            </w:r>
            <w:r>
              <w:rPr>
                <w:rFonts w:hint="eastAsia" w:ascii="方正仿宋_GBK" w:hAnsi="方正仿宋_GBK" w:eastAsia="方正仿宋_GBK" w:cs="方正仿宋_GBK"/>
                <w:color w:val="000000"/>
                <w:kern w:val="0"/>
                <w:sz w:val="21"/>
                <w:szCs w:val="21"/>
                <w:lang w:eastAsia="zh-CN"/>
              </w:rPr>
              <w:t>投标人</w:t>
            </w:r>
            <w:r>
              <w:rPr>
                <w:rFonts w:hint="eastAsia" w:ascii="方正仿宋_GBK" w:hAnsi="方正仿宋_GBK" w:eastAsia="方正仿宋_GBK" w:cs="方正仿宋_GBK"/>
                <w:color w:val="000000"/>
                <w:kern w:val="0"/>
                <w:sz w:val="21"/>
                <w:szCs w:val="21"/>
              </w:rPr>
              <w:t xml:space="preserve">为项目组成员自2023年1月以来任意连续缴纳 </w:t>
            </w:r>
            <w:r>
              <w:rPr>
                <w:rFonts w:hint="eastAsia" w:ascii="方正仿宋_GBK" w:hAnsi="方正仿宋_GBK" w:eastAsia="方正仿宋_GBK" w:cs="方正仿宋_GBK"/>
                <w:color w:val="000000"/>
                <w:kern w:val="0"/>
                <w:sz w:val="21"/>
                <w:szCs w:val="21"/>
                <w:lang w:val="en-US" w:eastAsia="zh-CN"/>
              </w:rPr>
              <w:t>8</w:t>
            </w:r>
            <w:r>
              <w:rPr>
                <w:rFonts w:hint="eastAsia" w:ascii="方正仿宋_GBK" w:hAnsi="方正仿宋_GBK" w:eastAsia="方正仿宋_GBK" w:cs="方正仿宋_GBK"/>
                <w:color w:val="000000"/>
                <w:kern w:val="0"/>
                <w:sz w:val="21"/>
                <w:szCs w:val="21"/>
              </w:rPr>
              <w:t>个月及以上的社保证明。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693" w:type="dxa"/>
            <w:noWrap w:val="0"/>
            <w:vAlign w:val="center"/>
          </w:tcPr>
          <w:p>
            <w:pPr>
              <w:keepNext w:val="0"/>
              <w:keepLines w:val="0"/>
              <w:pageBreakBefore w:val="0"/>
              <w:widowControl/>
              <w:kinsoku/>
              <w:wordWrap/>
              <w:overflowPunct/>
              <w:topLinePunct w:val="0"/>
              <w:bidi w:val="0"/>
              <w:adjustRightInd/>
              <w:snapToGrid/>
              <w:spacing w:line="300" w:lineRule="exact"/>
              <w:jc w:val="left"/>
              <w:textAlignment w:val="auto"/>
              <w:rPr>
                <w:rFonts w:hint="eastAsia" w:ascii="方正仿宋_GBK" w:hAnsi="方正仿宋_GBK" w:eastAsia="方正仿宋_GBK" w:cs="方正仿宋_GBK"/>
                <w:color w:val="000000"/>
                <w:kern w:val="0"/>
                <w:sz w:val="21"/>
                <w:szCs w:val="21"/>
                <w:lang w:eastAsia="zh-CN"/>
              </w:rPr>
            </w:pPr>
            <w:r>
              <w:rPr>
                <w:rFonts w:hint="eastAsia" w:ascii="方正仿宋_GBK" w:hAnsi="方正仿宋_GBK" w:eastAsia="方正仿宋_GBK" w:cs="方正仿宋_GBK"/>
                <w:color w:val="000000"/>
                <w:kern w:val="0"/>
                <w:sz w:val="21"/>
                <w:szCs w:val="21"/>
              </w:rPr>
              <w:t>技术服务水平（</w:t>
            </w:r>
            <w:r>
              <w:rPr>
                <w:rFonts w:hint="eastAsia" w:ascii="方正仿宋_GBK" w:hAnsi="方正仿宋_GBK" w:eastAsia="方正仿宋_GBK" w:cs="方正仿宋_GBK"/>
                <w:color w:val="000000"/>
                <w:kern w:val="0"/>
                <w:sz w:val="21"/>
                <w:szCs w:val="21"/>
                <w:lang w:val="en-US" w:eastAsia="zh-CN"/>
              </w:rPr>
              <w:t>40</w:t>
            </w:r>
            <w:r>
              <w:rPr>
                <w:rFonts w:hint="eastAsia" w:ascii="方正仿宋_GBK" w:hAnsi="方正仿宋_GBK" w:eastAsia="方正仿宋_GBK" w:cs="方正仿宋_GBK"/>
                <w:color w:val="000000"/>
                <w:kern w:val="0"/>
                <w:sz w:val="21"/>
                <w:szCs w:val="21"/>
              </w:rPr>
              <w:t>分）</w:t>
            </w:r>
          </w:p>
        </w:tc>
        <w:tc>
          <w:tcPr>
            <w:tcW w:w="6407" w:type="dxa"/>
            <w:noWrap w:val="0"/>
            <w:vAlign w:val="center"/>
          </w:tcPr>
          <w:p>
            <w:pPr>
              <w:keepNext w:val="0"/>
              <w:keepLines w:val="0"/>
              <w:pageBreakBefore w:val="0"/>
              <w:kinsoku/>
              <w:wordWrap/>
              <w:overflowPunct/>
              <w:topLinePunct w:val="0"/>
              <w:bidi w:val="0"/>
              <w:adjustRightInd/>
              <w:snapToGrid/>
              <w:spacing w:line="300" w:lineRule="exact"/>
              <w:textAlignment w:val="auto"/>
              <w:rPr>
                <w:rFonts w:hint="eastAsia" w:ascii="方正仿宋_GBK" w:hAnsi="方正仿宋_GBK" w:eastAsia="方正仿宋_GBK" w:cs="方正仿宋_GBK"/>
                <w:b/>
                <w:bCs/>
                <w:color w:val="000000"/>
                <w:sz w:val="21"/>
                <w:szCs w:val="21"/>
              </w:rPr>
            </w:pPr>
            <w:r>
              <w:rPr>
                <w:rFonts w:hint="eastAsia" w:ascii="方正仿宋_GBK" w:hAnsi="方正仿宋_GBK" w:eastAsia="方正仿宋_GBK" w:cs="方正仿宋_GBK"/>
                <w:b/>
                <w:bCs/>
                <w:color w:val="000000"/>
                <w:sz w:val="21"/>
                <w:szCs w:val="21"/>
              </w:rPr>
              <w:t>一、服务方案（20分）</w:t>
            </w:r>
          </w:p>
          <w:p>
            <w:pPr>
              <w:keepNext w:val="0"/>
              <w:keepLines w:val="0"/>
              <w:pageBreakBefore w:val="0"/>
              <w:kinsoku/>
              <w:wordWrap/>
              <w:overflowPunct/>
              <w:topLinePunct w:val="0"/>
              <w:bidi w:val="0"/>
              <w:adjustRightInd/>
              <w:snapToGrid/>
              <w:spacing w:line="300" w:lineRule="exact"/>
              <w:ind w:firstLine="420" w:firstLineChars="200"/>
              <w:textAlignment w:val="auto"/>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业务工作程序合理，有序，明晰，内容涵盖全面，由评评标委员会综合评审，得分共分为五个档次：一档得20分，二档得16分，三档得12分，四档得8分，五档得4分，未提供不得分。</w:t>
            </w:r>
          </w:p>
          <w:p>
            <w:pPr>
              <w:keepNext w:val="0"/>
              <w:keepLines w:val="0"/>
              <w:pageBreakBefore w:val="0"/>
              <w:kinsoku/>
              <w:wordWrap/>
              <w:overflowPunct/>
              <w:topLinePunct w:val="0"/>
              <w:bidi w:val="0"/>
              <w:adjustRightInd/>
              <w:snapToGrid/>
              <w:spacing w:line="300" w:lineRule="exact"/>
              <w:textAlignment w:val="auto"/>
              <w:rPr>
                <w:rFonts w:hint="eastAsia" w:ascii="方正仿宋_GBK" w:hAnsi="方正仿宋_GBK" w:eastAsia="方正仿宋_GBK" w:cs="方正仿宋_GBK"/>
                <w:b/>
                <w:bCs/>
                <w:color w:val="000000"/>
                <w:sz w:val="21"/>
                <w:szCs w:val="21"/>
              </w:rPr>
            </w:pPr>
            <w:r>
              <w:rPr>
                <w:rFonts w:hint="eastAsia" w:ascii="方正仿宋_GBK" w:hAnsi="方正仿宋_GBK" w:eastAsia="方正仿宋_GBK" w:cs="方正仿宋_GBK"/>
                <w:b/>
                <w:bCs/>
                <w:color w:val="000000"/>
                <w:sz w:val="21"/>
                <w:szCs w:val="21"/>
              </w:rPr>
              <w:t>二、内部管控制度（20分）</w:t>
            </w:r>
          </w:p>
          <w:p>
            <w:pPr>
              <w:keepNext w:val="0"/>
              <w:keepLines w:val="0"/>
              <w:pageBreakBefore w:val="0"/>
              <w:kinsoku/>
              <w:wordWrap/>
              <w:overflowPunct/>
              <w:topLinePunct w:val="0"/>
              <w:bidi w:val="0"/>
              <w:adjustRightInd/>
              <w:snapToGrid/>
              <w:spacing w:line="300" w:lineRule="exact"/>
              <w:ind w:firstLine="420" w:firstLineChars="200"/>
              <w:textAlignment w:val="auto"/>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1审计质量控制制度</w:t>
            </w:r>
          </w:p>
          <w:p>
            <w:pPr>
              <w:keepNext w:val="0"/>
              <w:keepLines w:val="0"/>
              <w:pageBreakBefore w:val="0"/>
              <w:kinsoku/>
              <w:wordWrap/>
              <w:overflowPunct/>
              <w:topLinePunct w:val="0"/>
              <w:bidi w:val="0"/>
              <w:adjustRightInd/>
              <w:snapToGrid/>
              <w:spacing w:line="300" w:lineRule="exact"/>
              <w:ind w:firstLine="420" w:firstLineChars="200"/>
              <w:jc w:val="left"/>
              <w:textAlignment w:val="auto"/>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包括审核程序及标准、审计项目复核管理制度等，由评评标委员会综合评审，得分共分为五个档次：一档得10分，二档得8分，三档得6分，四档得4分，五档得2分，未提供不得分。</w:t>
            </w:r>
          </w:p>
          <w:p>
            <w:pPr>
              <w:keepNext w:val="0"/>
              <w:keepLines w:val="0"/>
              <w:pageBreakBefore w:val="0"/>
              <w:kinsoku/>
              <w:wordWrap/>
              <w:overflowPunct/>
              <w:topLinePunct w:val="0"/>
              <w:autoSpaceDE w:val="0"/>
              <w:autoSpaceDN w:val="0"/>
              <w:bidi w:val="0"/>
              <w:adjustRightInd/>
              <w:snapToGrid/>
              <w:spacing w:line="300" w:lineRule="exact"/>
              <w:jc w:val="left"/>
              <w:textAlignment w:val="auto"/>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2. 档案管理制度、廉政监管制度、岗位责任制度等，由评评标委员会综合评审，得分共分为五个档次：一档得10分，二档得8分，三档得6分，四档得4分，五档得2分，未提供不得分。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trPr>
        <w:tc>
          <w:tcPr>
            <w:tcW w:w="2693" w:type="dxa"/>
            <w:noWrap w:val="0"/>
            <w:vAlign w:val="center"/>
          </w:tcPr>
          <w:p>
            <w:pPr>
              <w:keepNext w:val="0"/>
              <w:keepLines w:val="0"/>
              <w:pageBreakBefore w:val="0"/>
              <w:widowControl/>
              <w:kinsoku/>
              <w:wordWrap/>
              <w:overflowPunct/>
              <w:topLinePunct w:val="0"/>
              <w:bidi w:val="0"/>
              <w:adjustRightInd/>
              <w:snapToGrid/>
              <w:spacing w:line="300" w:lineRule="exact"/>
              <w:jc w:val="left"/>
              <w:textAlignment w:val="auto"/>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投标报价评分标准（</w:t>
            </w:r>
            <w:r>
              <w:rPr>
                <w:rFonts w:hint="eastAsia" w:ascii="方正仿宋_GBK" w:hAnsi="方正仿宋_GBK" w:eastAsia="方正仿宋_GBK" w:cs="方正仿宋_GBK"/>
                <w:color w:val="000000"/>
                <w:sz w:val="21"/>
                <w:szCs w:val="21"/>
                <w:lang w:val="en-US" w:eastAsia="zh-CN"/>
              </w:rPr>
              <w:t>10</w:t>
            </w:r>
            <w:r>
              <w:rPr>
                <w:rFonts w:hint="eastAsia" w:ascii="方正仿宋_GBK" w:hAnsi="方正仿宋_GBK" w:eastAsia="方正仿宋_GBK" w:cs="方正仿宋_GBK"/>
                <w:color w:val="000000"/>
                <w:sz w:val="21"/>
                <w:szCs w:val="21"/>
              </w:rPr>
              <w:t>分</w:t>
            </w:r>
            <w:r>
              <w:rPr>
                <w:rFonts w:hint="eastAsia" w:ascii="方正仿宋_GBK" w:hAnsi="方正仿宋_GBK" w:eastAsia="方正仿宋_GBK" w:cs="方正仿宋_GBK"/>
                <w:color w:val="000000"/>
                <w:sz w:val="21"/>
                <w:szCs w:val="21"/>
                <w:lang w:eastAsia="zh-CN"/>
              </w:rPr>
              <w:t>）</w:t>
            </w:r>
          </w:p>
        </w:tc>
        <w:tc>
          <w:tcPr>
            <w:tcW w:w="6407" w:type="dxa"/>
            <w:noWrap w:val="0"/>
            <w:vAlign w:val="center"/>
          </w:tcPr>
          <w:p>
            <w:pPr>
              <w:keepNext w:val="0"/>
              <w:keepLines w:val="0"/>
              <w:pageBreakBefore w:val="0"/>
              <w:kinsoku/>
              <w:wordWrap/>
              <w:overflowPunct/>
              <w:topLinePunct w:val="0"/>
              <w:bidi w:val="0"/>
              <w:adjustRightInd/>
              <w:snapToGrid/>
              <w:spacing w:line="300" w:lineRule="exact"/>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①评标基准价C值的确定：</w:t>
            </w:r>
          </w:p>
          <w:p>
            <w:pPr>
              <w:keepNext w:val="0"/>
              <w:keepLines w:val="0"/>
              <w:pageBreakBefore w:val="0"/>
              <w:kinsoku/>
              <w:wordWrap/>
              <w:overflowPunct/>
              <w:topLinePunct w:val="0"/>
              <w:bidi w:val="0"/>
              <w:adjustRightInd/>
              <w:snapToGrid/>
              <w:spacing w:line="300" w:lineRule="exact"/>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A值为最高投</w:t>
            </w:r>
            <w:bookmarkStart w:id="0" w:name="_GoBack"/>
            <w:bookmarkEnd w:id="0"/>
            <w:r>
              <w:rPr>
                <w:rFonts w:hint="eastAsia" w:ascii="方正仿宋_GBK" w:hAnsi="方正仿宋_GBK" w:eastAsia="方正仿宋_GBK" w:cs="方正仿宋_GBK"/>
                <w:color w:val="000000"/>
                <w:kern w:val="0"/>
                <w:sz w:val="21"/>
                <w:szCs w:val="21"/>
              </w:rPr>
              <w:t>标限价：大于A值的投标报价按无效标处理。</w:t>
            </w:r>
          </w:p>
          <w:p>
            <w:pPr>
              <w:keepNext w:val="0"/>
              <w:keepLines w:val="0"/>
              <w:pageBreakBefore w:val="0"/>
              <w:kinsoku/>
              <w:wordWrap/>
              <w:overflowPunct/>
              <w:topLinePunct w:val="0"/>
              <w:bidi w:val="0"/>
              <w:adjustRightInd/>
              <w:snapToGrid/>
              <w:spacing w:line="300" w:lineRule="exact"/>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C值为≥A值</w:t>
            </w:r>
            <w:r>
              <w:rPr>
                <w:rFonts w:hint="eastAsia" w:ascii="方正仿宋_GBK" w:hAnsi="方正仿宋_GBK" w:eastAsia="方正仿宋_GBK" w:cs="方正仿宋_GBK"/>
                <w:color w:val="000000"/>
                <w:kern w:val="0"/>
                <w:sz w:val="21"/>
                <w:szCs w:val="21"/>
                <w:lang w:val="en-US" w:eastAsia="zh-CN"/>
              </w:rPr>
              <w:t>90</w:t>
            </w:r>
            <w:r>
              <w:rPr>
                <w:rFonts w:hint="eastAsia" w:ascii="方正仿宋_GBK" w:hAnsi="方正仿宋_GBK" w:eastAsia="方正仿宋_GBK" w:cs="方正仿宋_GBK"/>
                <w:color w:val="000000"/>
                <w:kern w:val="0"/>
                <w:sz w:val="21"/>
                <w:szCs w:val="21"/>
              </w:rPr>
              <w:t>%的各投标企业有效报价的算术平均值</w:t>
            </w:r>
          </w:p>
          <w:p>
            <w:pPr>
              <w:keepNext w:val="0"/>
              <w:keepLines w:val="0"/>
              <w:pageBreakBefore w:val="0"/>
              <w:kinsoku/>
              <w:wordWrap/>
              <w:overflowPunct/>
              <w:topLinePunct w:val="0"/>
              <w:bidi w:val="0"/>
              <w:adjustRightInd/>
              <w:snapToGrid/>
              <w:spacing w:line="300" w:lineRule="exact"/>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（1、投标报价的供应商家数M≤5时，取所有有效投标报价的平均值为C值；2、投标报价的供应商家数M＞5时，去掉一个最高报价，去掉一个最低报价，取其余有效报价平均值为C值），小于</w:t>
            </w:r>
            <w:r>
              <w:rPr>
                <w:rFonts w:hint="eastAsia" w:ascii="方正仿宋_GBK" w:hAnsi="方正仿宋_GBK" w:eastAsia="方正仿宋_GBK" w:cs="方正仿宋_GBK"/>
                <w:color w:val="000000"/>
                <w:kern w:val="0"/>
                <w:sz w:val="21"/>
                <w:szCs w:val="21"/>
                <w:lang w:val="en-US" w:eastAsia="zh-CN"/>
              </w:rPr>
              <w:t>90</w:t>
            </w:r>
            <w:r>
              <w:rPr>
                <w:rFonts w:hint="eastAsia" w:ascii="方正仿宋_GBK" w:hAnsi="方正仿宋_GBK" w:eastAsia="方正仿宋_GBK" w:cs="方正仿宋_GBK"/>
                <w:color w:val="000000"/>
                <w:kern w:val="0"/>
                <w:sz w:val="21"/>
                <w:szCs w:val="21"/>
              </w:rPr>
              <w:t>%的投标报价不参与C值的计算，若该项目所有有效投标报价均小于A值的</w:t>
            </w:r>
            <w:r>
              <w:rPr>
                <w:rFonts w:hint="eastAsia" w:ascii="方正仿宋_GBK" w:hAnsi="方正仿宋_GBK" w:eastAsia="方正仿宋_GBK" w:cs="方正仿宋_GBK"/>
                <w:color w:val="000000"/>
                <w:kern w:val="0"/>
                <w:sz w:val="21"/>
                <w:szCs w:val="21"/>
                <w:lang w:val="en-US" w:eastAsia="zh-CN"/>
              </w:rPr>
              <w:t>90</w:t>
            </w:r>
            <w:r>
              <w:rPr>
                <w:rFonts w:hint="eastAsia" w:ascii="方正仿宋_GBK" w:hAnsi="方正仿宋_GBK" w:eastAsia="方正仿宋_GBK" w:cs="方正仿宋_GBK"/>
                <w:color w:val="000000"/>
                <w:kern w:val="0"/>
                <w:sz w:val="21"/>
                <w:szCs w:val="21"/>
              </w:rPr>
              <w:t>%，则C值为A值</w:t>
            </w:r>
            <w:r>
              <w:rPr>
                <w:rFonts w:hint="eastAsia" w:ascii="方正仿宋_GBK" w:hAnsi="方正仿宋_GBK" w:eastAsia="方正仿宋_GBK" w:cs="方正仿宋_GBK"/>
                <w:color w:val="000000"/>
                <w:kern w:val="0"/>
                <w:sz w:val="21"/>
                <w:szCs w:val="21"/>
                <w:lang w:val="en-US" w:eastAsia="zh-CN"/>
              </w:rPr>
              <w:t>90</w:t>
            </w:r>
            <w:r>
              <w:rPr>
                <w:rFonts w:hint="eastAsia" w:ascii="方正仿宋_GBK" w:hAnsi="方正仿宋_GBK" w:eastAsia="方正仿宋_GBK" w:cs="方正仿宋_GBK"/>
                <w:color w:val="000000"/>
                <w:kern w:val="0"/>
                <w:sz w:val="21"/>
                <w:szCs w:val="21"/>
              </w:rPr>
              <w:t>%（C=A*</w:t>
            </w:r>
            <w:r>
              <w:rPr>
                <w:rFonts w:hint="eastAsia" w:ascii="方正仿宋_GBK" w:hAnsi="方正仿宋_GBK" w:eastAsia="方正仿宋_GBK" w:cs="方正仿宋_GBK"/>
                <w:color w:val="000000"/>
                <w:kern w:val="0"/>
                <w:sz w:val="21"/>
                <w:szCs w:val="21"/>
                <w:lang w:val="en-US" w:eastAsia="zh-CN"/>
              </w:rPr>
              <w:t>90</w:t>
            </w:r>
            <w:r>
              <w:rPr>
                <w:rFonts w:hint="eastAsia" w:ascii="方正仿宋_GBK" w:hAnsi="方正仿宋_GBK" w:eastAsia="方正仿宋_GBK" w:cs="方正仿宋_GBK"/>
                <w:color w:val="000000"/>
                <w:kern w:val="0"/>
                <w:sz w:val="21"/>
                <w:szCs w:val="21"/>
              </w:rPr>
              <w:t>%）。</w:t>
            </w:r>
          </w:p>
          <w:p>
            <w:pPr>
              <w:keepNext w:val="0"/>
              <w:keepLines w:val="0"/>
              <w:pageBreakBefore w:val="0"/>
              <w:kinsoku/>
              <w:wordWrap/>
              <w:overflowPunct/>
              <w:topLinePunct w:val="0"/>
              <w:bidi w:val="0"/>
              <w:adjustRightInd/>
              <w:snapToGrid/>
              <w:spacing w:line="300" w:lineRule="exact"/>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②投标报价等于评标基准价C的得满分；投标报价与评标基准价C相比，每高于评标基准价1%扣</w:t>
            </w:r>
            <w:r>
              <w:rPr>
                <w:rFonts w:hint="eastAsia" w:ascii="方正仿宋_GBK" w:hAnsi="方正仿宋_GBK" w:eastAsia="方正仿宋_GBK" w:cs="方正仿宋_GBK"/>
                <w:color w:val="000000"/>
                <w:kern w:val="0"/>
                <w:sz w:val="21"/>
                <w:szCs w:val="21"/>
                <w:lang w:val="en-US" w:eastAsia="zh-CN"/>
              </w:rPr>
              <w:t>0.5</w:t>
            </w:r>
            <w:r>
              <w:rPr>
                <w:rFonts w:hint="eastAsia" w:ascii="方正仿宋_GBK" w:hAnsi="方正仿宋_GBK" w:eastAsia="方正仿宋_GBK" w:cs="方正仿宋_GBK"/>
                <w:color w:val="000000"/>
                <w:kern w:val="0"/>
                <w:sz w:val="21"/>
                <w:szCs w:val="21"/>
              </w:rPr>
              <w:t>分，每低于评标基准价1%扣</w:t>
            </w:r>
            <w:r>
              <w:rPr>
                <w:rFonts w:hint="eastAsia" w:ascii="方正仿宋_GBK" w:hAnsi="方正仿宋_GBK" w:eastAsia="方正仿宋_GBK" w:cs="方正仿宋_GBK"/>
                <w:color w:val="000000"/>
                <w:kern w:val="0"/>
                <w:sz w:val="21"/>
                <w:szCs w:val="21"/>
                <w:lang w:val="en-US" w:eastAsia="zh-CN"/>
              </w:rPr>
              <w:t>0.3</w:t>
            </w:r>
            <w:r>
              <w:rPr>
                <w:rFonts w:hint="eastAsia" w:ascii="方正仿宋_GBK" w:hAnsi="方正仿宋_GBK" w:eastAsia="方正仿宋_GBK" w:cs="方正仿宋_GBK"/>
                <w:color w:val="000000"/>
                <w:kern w:val="0"/>
                <w:sz w:val="21"/>
                <w:szCs w:val="21"/>
              </w:rPr>
              <w:t>分，扣完为止。四舍五入计算得分（得分保留小数点后面两位，第三位四舍五入）。</w:t>
            </w:r>
          </w:p>
          <w:p>
            <w:pPr>
              <w:keepNext w:val="0"/>
              <w:keepLines w:val="0"/>
              <w:pageBreakBefore w:val="0"/>
              <w:kinsoku/>
              <w:wordWrap/>
              <w:overflowPunct/>
              <w:topLinePunct w:val="0"/>
              <w:autoSpaceDE w:val="0"/>
              <w:autoSpaceDN w:val="0"/>
              <w:bidi w:val="0"/>
              <w:adjustRightInd/>
              <w:snapToGrid/>
              <w:spacing w:line="300" w:lineRule="exact"/>
              <w:jc w:val="left"/>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偏差率保留两位小数即**.**%</w:t>
            </w:r>
          </w:p>
        </w:tc>
      </w:tr>
    </w:tbl>
    <w:p>
      <w:pPr>
        <w:pStyle w:val="2"/>
        <w:ind w:left="0" w:leftChars="0" w:firstLine="0" w:firstLineChars="0"/>
        <w:rPr>
          <w:rFonts w:hint="eastAsia" w:ascii="方正仿宋_GBK" w:hAnsi="方正仿宋_GBK" w:eastAsia="方正仿宋_GBK" w:cs="方正仿宋_GBK"/>
          <w:lang w:eastAsia="zh-CN"/>
        </w:rPr>
      </w:pPr>
    </w:p>
    <w:sectPr>
      <w:footerReference r:id="rId5" w:type="default"/>
      <w:pgSz w:w="11906" w:h="16838"/>
      <w:pgMar w:top="1440" w:right="1803" w:bottom="1440" w:left="1803" w:header="851" w:footer="992" w:gutter="0"/>
      <w:cols w:space="0" w:num="1"/>
      <w:rtlGutter w:val="0"/>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CG Times"/>
    <w:panose1 w:val="02020603050405020304"/>
    <w:charset w:val="00"/>
    <w:family w:val="modern"/>
    <w:pitch w:val="default"/>
    <w:sig w:usb0="00000000" w:usb1="00000000" w:usb2="00000000" w:usb3="00000000" w:csb0="00000093" w:csb1="00000000"/>
  </w:font>
  <w:font w:name="CG Times">
    <w:panose1 w:val="02020603050405020304"/>
    <w:charset w:val="00"/>
    <w:family w:val="auto"/>
    <w:pitch w:val="default"/>
    <w:sig w:usb0="00000007" w:usb1="00000000" w:usb2="00000000" w:usb3="00000000" w:csb0="00000093"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w:rPr>
        <w:sz w:val="1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1YzBiYTMxMGM2OTliMzcwY2E2MDBkZTdkMTA5ODkifQ=="/>
  </w:docVars>
  <w:rsids>
    <w:rsidRoot w:val="729471DF"/>
    <w:rsid w:val="00337586"/>
    <w:rsid w:val="00E51FBF"/>
    <w:rsid w:val="04815329"/>
    <w:rsid w:val="0FBC2538"/>
    <w:rsid w:val="1D5C3580"/>
    <w:rsid w:val="27847126"/>
    <w:rsid w:val="2C4709BC"/>
    <w:rsid w:val="2C9C7462"/>
    <w:rsid w:val="319E6445"/>
    <w:rsid w:val="33EE52B7"/>
    <w:rsid w:val="3DC04E67"/>
    <w:rsid w:val="49D7054F"/>
    <w:rsid w:val="574F7C7C"/>
    <w:rsid w:val="71E210CC"/>
    <w:rsid w:val="729471DF"/>
    <w:rsid w:val="757F5473"/>
    <w:rsid w:val="75AB0042"/>
    <w:rsid w:val="763307D2"/>
    <w:rsid w:val="780E0078"/>
    <w:rsid w:val="7A0F08F1"/>
    <w:rsid w:val="7B86247F"/>
    <w:rsid w:val="7E1C4B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spacing w:before="0" w:after="0" w:line="360" w:lineRule="auto"/>
      <w:ind w:left="0" w:right="0"/>
      <w:jc w:val="left"/>
    </w:pPr>
    <w:rPr>
      <w:rFonts w:ascii="宋体" w:hAnsi="宋体" w:eastAsia="宋体" w:cs="宋体"/>
      <w:sz w:val="28"/>
      <w:szCs w:val="22"/>
      <w:lang w:val="zh-CN" w:eastAsia="zh-CN" w:bidi="zh-CN"/>
    </w:rPr>
  </w:style>
  <w:style w:type="paragraph" w:styleId="5">
    <w:name w:val="heading 1"/>
    <w:basedOn w:val="1"/>
    <w:next w:val="1"/>
    <w:autoRedefine/>
    <w:qFormat/>
    <w:uiPriority w:val="0"/>
    <w:pPr>
      <w:keepNext/>
      <w:keepLines/>
      <w:spacing w:line="360" w:lineRule="auto"/>
      <w:outlineLvl w:val="0"/>
    </w:pPr>
    <w:rPr>
      <w:rFonts w:ascii="宋体" w:hAnsi="宋体" w:eastAsia="宋体" w:cs="宋体"/>
      <w:b/>
      <w:bCs/>
      <w:kern w:val="44"/>
      <w:sz w:val="32"/>
      <w:szCs w:val="44"/>
    </w:rPr>
  </w:style>
  <w:style w:type="paragraph" w:styleId="6">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b/>
      <w:sz w:val="30"/>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left="901" w:leftChars="429"/>
    </w:pPr>
    <w:rPr>
      <w:rFonts w:ascii="Times" w:hAnsi="Times"/>
    </w:rPr>
  </w:style>
  <w:style w:type="paragraph" w:styleId="4">
    <w:name w:val="envelope return"/>
    <w:basedOn w:val="1"/>
    <w:qFormat/>
    <w:uiPriority w:val="0"/>
    <w:pPr>
      <w:snapToGrid w:val="0"/>
    </w:pPr>
    <w:rPr>
      <w:rFonts w:ascii="Arial" w:hAnsi="Arial"/>
    </w:rPr>
  </w:style>
  <w:style w:type="paragraph" w:styleId="7">
    <w:name w:val="Body Text"/>
    <w:basedOn w:val="1"/>
    <w:next w:val="8"/>
    <w:qFormat/>
    <w:uiPriority w:val="0"/>
    <w:pPr>
      <w:spacing w:after="120" w:afterLines="0" w:afterAutospacing="0"/>
    </w:pPr>
  </w:style>
  <w:style w:type="paragraph" w:styleId="8">
    <w:name w:val="Body Text First Indent"/>
    <w:basedOn w:val="7"/>
    <w:next w:val="9"/>
    <w:qFormat/>
    <w:uiPriority w:val="0"/>
    <w:pPr>
      <w:adjustRightInd w:val="0"/>
      <w:spacing w:after="120" w:line="240" w:lineRule="auto"/>
      <w:ind w:firstLine="420" w:firstLineChars="100"/>
      <w:jc w:val="left"/>
      <w:textAlignment w:val="baseline"/>
    </w:pPr>
    <w:rPr>
      <w:rFonts w:ascii="宋体" w:eastAsia="宋体"/>
      <w:b/>
      <w:bCs/>
      <w:kern w:val="44"/>
      <w:szCs w:val="24"/>
    </w:rPr>
  </w:style>
  <w:style w:type="paragraph" w:styleId="9">
    <w:name w:val="toc 6"/>
    <w:basedOn w:val="1"/>
    <w:next w:val="1"/>
    <w:qFormat/>
    <w:uiPriority w:val="0"/>
    <w:pPr>
      <w:ind w:left="1701" w:firstLine="720" w:firstLineChars="300"/>
      <w:jc w:val="left"/>
    </w:pPr>
    <w:rPr>
      <w:rFonts w:ascii="宋体" w:hAnsi="宋体" w:eastAsia="宋体" w:cs="宋体"/>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Body Text 2"/>
    <w:basedOn w:val="1"/>
    <w:next w:val="1"/>
    <w:autoRedefine/>
    <w:qFormat/>
    <w:uiPriority w:val="0"/>
    <w:pPr>
      <w:adjustRightInd w:val="0"/>
      <w:snapToGrid w:val="0"/>
      <w:spacing w:line="480" w:lineRule="atLeast"/>
    </w:pPr>
    <w:rPr>
      <w:sz w:val="28"/>
    </w:rPr>
  </w:style>
  <w:style w:type="paragraph" w:customStyle="1" w:styleId="14">
    <w:name w:val="正文格式"/>
    <w:basedOn w:val="15"/>
    <w:qFormat/>
    <w:uiPriority w:val="0"/>
    <w:pPr>
      <w:widowControl/>
      <w:adjustRightInd w:val="0"/>
      <w:snapToGrid w:val="0"/>
      <w:spacing w:line="360" w:lineRule="auto"/>
      <w:ind w:right="44" w:rightChars="21" w:hanging="178" w:hangingChars="85"/>
      <w:jc w:val="left"/>
      <w:textAlignment w:val="baseline"/>
    </w:pPr>
    <w:rPr>
      <w:rFonts w:ascii="宋体" w:hAnsi="宋体"/>
      <w:bCs/>
      <w:kern w:val="0"/>
      <w:sz w:val="24"/>
      <w:szCs w:val="21"/>
    </w:rPr>
  </w:style>
  <w:style w:type="paragraph" w:customStyle="1" w:styleId="15">
    <w:name w:val="正文_2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3537</Words>
  <Characters>3587</Characters>
  <Lines>0</Lines>
  <Paragraphs>0</Paragraphs>
  <TotalTime>0</TotalTime>
  <ScaleCrop>false</ScaleCrop>
  <LinksUpToDate>false</LinksUpToDate>
  <CharactersWithSpaces>3634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2022-04-06T02:33:00Z</dcterms:created>
  <dc:creator>宿州市数据资源管理局</dc:creator>
  <cp:lastModifiedBy>suzy*^_^*</cp:lastModifiedBy>
  <dcterms:modified xsi:type="dcterms:W3CDTF">2024-03-11T01:06:09Z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7AB6DF64DF194FD090DBE01BD238F7B7_13</vt:lpwstr>
  </property>
</Properties>
</file>