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F30CA">
      <w:pPr>
        <w:rPr>
          <w:rFonts w:hint="eastAsia" w:ascii="黑体" w:hAnsi="黑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附件2</w:t>
      </w:r>
    </w:p>
    <w:p w14:paraId="3DAE2711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宿州市公共数据资源授权运营机构评分标准</w:t>
      </w:r>
    </w:p>
    <w:tbl>
      <w:tblPr>
        <w:tblStyle w:val="2"/>
        <w:tblW w:w="10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065"/>
        <w:gridCol w:w="7493"/>
      </w:tblGrid>
      <w:tr w14:paraId="38CB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</w:tr>
      <w:tr w14:paraId="6D67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企业资质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1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1.供应商具有ISO/IEC27001信息安全管理体系认证证书得2分。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2.供应商具有ISO/IEC27701隐私信息管理体系认证证书得2分。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3.供应商具有ISO/IEC20000-1信息技术服务管理体系认证证书得2分。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4.供应商具有质量管理体系认证证书得2分。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注：本项最多得8分，投标文件中提供证书扫描件。</w:t>
            </w:r>
          </w:p>
        </w:tc>
      </w:tr>
      <w:tr w14:paraId="7EB0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企业技术能力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B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具有与本项目实际需求相关的计算机软件著作权登记证书（包含数据分析类、数据协同类、API服务类、应用市场类、安全类），每提供一项得2分（同一类证书最多得2分，重复提供不得分）满分10分，没有不得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注:提供著作权证书扫描件加盖投标人公章。</w:t>
            </w:r>
          </w:p>
        </w:tc>
      </w:tr>
      <w:tr w14:paraId="0F93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业绩能力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E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根据供应商数据服务类项目业绩进行评审：每提供1个有效项目合同得2分，没有或无效的不得分，本项最多得10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分。注：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1.同一业绩不累计得分；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2.投标文件中提供合同或委托单位委托书及评估报告扫描件。如合同或委托单位委托书中无法体现签订时间、项目类型等评审内容，另附业主证明等相关证明材料扫描件。</w:t>
            </w:r>
          </w:p>
        </w:tc>
      </w:tr>
      <w:tr w14:paraId="2152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8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拟派运营团队成员：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1.组建运营团队，每提供一人得1分。本项最高得6分。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2.团队成员具有系统集成项目管理工程师、CISP证书（注册信息安全工程师）、注册会计师证书的，每提供一项得1分，本项最高得2分。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注：投标文件中提供证书扫描件和供应商为上述人员缴纳社保的承诺函；同一人员具有多类证书的可重复计分。</w:t>
            </w:r>
          </w:p>
        </w:tc>
      </w:tr>
      <w:tr w14:paraId="6462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数据管理制度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7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围绕数据全生命周期进行评审：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1.数据管理制度覆盖授权运营全流程（采集、存储、共享、销毁），且明确安全审核、责任追溯要求，得12分；​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2.数据管理制度覆盖采集、存储、共享、销毁核心流程，但未细化责任追溯条款，得8分；​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3.制度缺失任一核心流程（如未明确销毁规范）、仅零散提及数据管理要求，或未提供制度文件，不得分。</w:t>
            </w:r>
          </w:p>
        </w:tc>
      </w:tr>
      <w:tr w14:paraId="0179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数据处理技术方案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D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根据供应商对公共数据流通、治理、加工与产品开发的理解，提供详细的数据处理技术方案和工作思路进行评审：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1.技术方案详细全面，工作思路合理，工作步骤科学、可行性高，满足或优于运营需求的，得20分；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2.技术方案较全面，工作思路基本合理，工作步骤较科学、可行性较高，基本满足项目需求，得16分；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3.技术方案一般，工作思路的合理程度较低，工作步骤可行性较低，满足项目需求程度较低，得12分；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4.其他情况或不提供不得分。</w:t>
            </w:r>
          </w:p>
        </w:tc>
      </w:tr>
      <w:tr w14:paraId="1E34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安全保障方案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F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运营机构在开展宿州市公共数据资源授权运营活动时，应当保证国家和个人隐私安全，维护公共利益，方案应当包括网络安全、数据安全、个人信息保护以及应急处置措施等内容。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1.方案详细全面，工作思路合理，工作步骤科学、可行性高，满足或优于运营需求的，得17分；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2.方案较全面，工作思路基本合理，工作步骤较科学、可行性较高，基本满足项目需求，得12分；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3.方案一般，工作思路的合理程度较低，工作步骤可行性较低，满足项目需求程度较低，得7分；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4.其他情况或不提供不得分。</w:t>
            </w:r>
          </w:p>
        </w:tc>
      </w:tr>
      <w:tr w14:paraId="5356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现场答辩情况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4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4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针对专家委员会提出的政策适配、数据安全、数据处理、本地化运营等问题，能准确回应、论据充分，且结合宿州实际提出合理解决方案的，得15分；​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能基本回应问题，论据较充分但针对性不足的，得11分；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应答偏离问题核心，论据不足或无法有效回应的，得7分。</w:t>
            </w:r>
          </w:p>
        </w:tc>
      </w:tr>
    </w:tbl>
    <w:p w14:paraId="7D274269"/>
    <w:sectPr>
      <w:pgSz w:w="11906" w:h="16838"/>
      <w:pgMar w:top="2041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16C96"/>
    <w:rsid w:val="598361D8"/>
    <w:rsid w:val="647C2A83"/>
    <w:rsid w:val="64F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1286</Words>
  <Characters>1360</Characters>
  <Lines>0</Lines>
  <Paragraphs>0</Paragraphs>
  <TotalTime>0</TotalTime>
  <ScaleCrop>false</ScaleCrop>
  <LinksUpToDate>false</LinksUpToDate>
  <CharactersWithSpaces>1360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2025-12-09T07:40:00Z</dcterms:created>
  <dc:creator>Administrator</dc:creator>
  <cp:lastModifiedBy>suzy*^_^*</cp:lastModifiedBy>
  <dcterms:modified xsi:type="dcterms:W3CDTF">2025-12-15T07:11:42Z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eyJoZGlkIjoiYjAzNDI4NTY1ZjUwYzc0MzdkNjY5ZDg1ZDAxY2VlOGYiLCJ1c2VySWQiOiI4MTkzNjEwNzMifQ==</vt:lpwstr>
  </property>
  <property fmtid="{D5CDD505-2E9C-101B-9397-08002B2CF9AE}" pid="4" name="ICV">
    <vt:lpwstr>22D2DB3A97904036ABA903BAE7BFDE1C_12</vt:lpwstr>
  </property>
</Properties>
</file>