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</w:pPr>
      <w:bookmarkStart w:id="4" w:name="_GoBack"/>
      <w:bookmarkStart w:id="0" w:name="_Toc927"/>
      <w:r>
        <w:t>评分办法</w:t>
      </w:r>
      <w:bookmarkEnd w:id="0"/>
    </w:p>
    <w:bookmarkEnd w:id="4"/>
    <w:tbl>
      <w:tblPr>
        <w:tblStyle w:val="8"/>
        <w:tblW w:w="929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584"/>
        <w:gridCol w:w="772"/>
        <w:gridCol w:w="6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77" w:type="dxa"/>
            <w:gridSpan w:val="2"/>
            <w:noWrap/>
            <w:vAlign w:val="center"/>
          </w:tcPr>
          <w:p>
            <w:pPr>
              <w:bidi w:val="0"/>
              <w:rPr>
                <w:sz w:val="24"/>
                <w:szCs w:val="24"/>
              </w:rPr>
            </w:pPr>
            <w:bookmarkStart w:id="1" w:name="_bookmark9"/>
            <w:bookmarkEnd w:id="1"/>
            <w:bookmarkStart w:id="2" w:name="_bookmark8"/>
            <w:bookmarkEnd w:id="2"/>
            <w:r>
              <w:rPr>
                <w:rFonts w:hint="eastAsia"/>
                <w:sz w:val="24"/>
                <w:szCs w:val="24"/>
              </w:rPr>
              <w:t>评审项目</w:t>
            </w:r>
          </w:p>
        </w:tc>
        <w:tc>
          <w:tcPr>
            <w:tcW w:w="772" w:type="dxa"/>
            <w:noWrap/>
            <w:vAlign w:val="center"/>
          </w:tcPr>
          <w:p>
            <w:pPr>
              <w:bidi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分数</w:t>
            </w:r>
          </w:p>
        </w:tc>
        <w:tc>
          <w:tcPr>
            <w:tcW w:w="6248" w:type="dxa"/>
            <w:noWrap/>
            <w:vAlign w:val="center"/>
          </w:tcPr>
          <w:p>
            <w:pPr>
              <w:bidi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评分原则、标准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3" w:type="dxa"/>
            <w:noWrap/>
            <w:vAlign w:val="center"/>
          </w:tcPr>
          <w:p>
            <w:pPr>
              <w:bidi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 价</w:t>
            </w:r>
          </w:p>
          <w:p>
            <w:pPr>
              <w:bidi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  <w:p>
            <w:pPr>
              <w:bidi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584" w:type="dxa"/>
            <w:noWrap/>
            <w:vAlign w:val="center"/>
          </w:tcPr>
          <w:p>
            <w:pPr>
              <w:bidi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报价</w:t>
            </w:r>
          </w:p>
        </w:tc>
        <w:tc>
          <w:tcPr>
            <w:tcW w:w="772" w:type="dxa"/>
            <w:noWrap/>
            <w:vAlign w:val="center"/>
          </w:tcPr>
          <w:p>
            <w:pPr>
              <w:bidi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10分</w:t>
            </w:r>
          </w:p>
        </w:tc>
        <w:tc>
          <w:tcPr>
            <w:tcW w:w="6248" w:type="dxa"/>
            <w:noWrap/>
            <w:vAlign w:val="center"/>
          </w:tcPr>
          <w:p>
            <w:pPr>
              <w:bidi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满足采购文件要求且报价最低的为评审基准价，其价格分为满分（10分）。其他供应商的价格统一按照下列公式计算：报价得分＝（评标基准价／投标报价）×10。若投标报价超出采购预算的，作为无效响应处理。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693" w:type="dxa"/>
            <w:vMerge w:val="restart"/>
            <w:noWrap/>
            <w:vAlign w:val="center"/>
          </w:tcPr>
          <w:p>
            <w:pPr>
              <w:bidi w:val="0"/>
              <w:rPr>
                <w:sz w:val="24"/>
                <w:szCs w:val="24"/>
              </w:rPr>
            </w:pPr>
            <w:bookmarkStart w:id="3" w:name="_Hlk186181024"/>
            <w:r>
              <w:rPr>
                <w:rFonts w:hint="eastAsia"/>
                <w:sz w:val="24"/>
                <w:szCs w:val="24"/>
              </w:rPr>
              <w:t>商 务 部 分</w:t>
            </w:r>
          </w:p>
          <w:p>
            <w:pPr>
              <w:bidi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584" w:type="dxa"/>
            <w:noWrap/>
            <w:vAlign w:val="center"/>
          </w:tcPr>
          <w:p>
            <w:pPr>
              <w:bidi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企业资质证书</w:t>
            </w:r>
          </w:p>
        </w:tc>
        <w:tc>
          <w:tcPr>
            <w:tcW w:w="772" w:type="dxa"/>
            <w:noWrap/>
            <w:vAlign w:val="center"/>
          </w:tcPr>
          <w:p>
            <w:pPr>
              <w:bidi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6248" w:type="dxa"/>
            <w:noWrap/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具备带有CNAS认证标识的质量管理体系、信息安全管理体系、信息技术服务体系认证证书的，每提供一个得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分，最高得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分。</w:t>
            </w:r>
          </w:p>
          <w:p>
            <w:pPr>
              <w:bidi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（需提供资质证书原件或加盖公章的复印件，否则不予计分）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93" w:type="dxa"/>
            <w:vMerge w:val="continue"/>
            <w:noWrap/>
            <w:vAlign w:val="center"/>
          </w:tcPr>
          <w:p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1584" w:type="dxa"/>
            <w:noWrap/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实验室综合实力</w:t>
            </w:r>
          </w:p>
        </w:tc>
        <w:tc>
          <w:tcPr>
            <w:tcW w:w="772" w:type="dxa"/>
            <w:noWrap/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5分</w:t>
            </w:r>
          </w:p>
        </w:tc>
        <w:tc>
          <w:tcPr>
            <w:tcW w:w="6248" w:type="dxa"/>
            <w:noWrap/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具备国家级高新技术企业证书的得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分，国家级以下不得分。</w:t>
            </w:r>
          </w:p>
          <w:p>
            <w:pPr>
              <w:bidi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（须提供证书原件或加盖公章的复印件，且复印件需装订在投标文件中，否则不得分）</w:t>
            </w:r>
          </w:p>
        </w:tc>
      </w:tr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3" w:type="dxa"/>
            <w:vMerge w:val="restart"/>
            <w:noWrap/>
            <w:vAlign w:val="center"/>
          </w:tcPr>
          <w:p>
            <w:pPr>
              <w:bidi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</w:t>
            </w:r>
          </w:p>
          <w:p>
            <w:pPr>
              <w:bidi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术</w:t>
            </w:r>
          </w:p>
          <w:p>
            <w:pPr>
              <w:bidi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</w:t>
            </w:r>
          </w:p>
          <w:p>
            <w:pPr>
              <w:bidi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</w:t>
            </w:r>
          </w:p>
          <w:p>
            <w:pPr>
              <w:bidi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79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584" w:type="dxa"/>
            <w:noWrap/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项目</w:t>
            </w:r>
            <w:r>
              <w:rPr>
                <w:rFonts w:hint="eastAsia"/>
                <w:sz w:val="24"/>
                <w:szCs w:val="24"/>
              </w:rPr>
              <w:t>团队</w:t>
            </w:r>
          </w:p>
        </w:tc>
        <w:tc>
          <w:tcPr>
            <w:tcW w:w="772" w:type="dxa"/>
            <w:noWrap/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32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6248" w:type="dxa"/>
            <w:noWrap/>
            <w:vAlign w:val="center"/>
          </w:tcPr>
          <w:p>
            <w:pPr>
              <w:bidi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</w:t>
            </w:r>
            <w:r>
              <w:rPr>
                <w:rFonts w:hint="eastAsia"/>
                <w:sz w:val="24"/>
                <w:szCs w:val="24"/>
                <w:lang w:eastAsia="zh-CN"/>
              </w:rPr>
              <w:t>项目</w:t>
            </w:r>
            <w:r>
              <w:rPr>
                <w:rFonts w:hint="eastAsia"/>
                <w:sz w:val="24"/>
                <w:szCs w:val="24"/>
              </w:rPr>
              <w:t>负责人同时具备信息系统项目管理师（软考高级）、信息安全工程师（软考中级）、</w:t>
            </w:r>
            <w:r>
              <w:rPr>
                <w:rFonts w:hint="eastAsia"/>
                <w:sz w:val="24"/>
                <w:szCs w:val="24"/>
                <w:lang w:eastAsia="zh-CN"/>
              </w:rPr>
              <w:t>大数据</w:t>
            </w:r>
            <w:r>
              <w:rPr>
                <w:rFonts w:hint="eastAsia"/>
                <w:sz w:val="24"/>
                <w:szCs w:val="24"/>
              </w:rPr>
              <w:t>工程类中级</w:t>
            </w:r>
            <w:r>
              <w:rPr>
                <w:rFonts w:hint="eastAsia"/>
                <w:sz w:val="24"/>
                <w:szCs w:val="24"/>
                <w:lang w:eastAsia="zh-CN"/>
              </w:rPr>
              <w:t>及以上职称</w:t>
            </w:r>
            <w:r>
              <w:rPr>
                <w:rFonts w:hint="eastAsia"/>
                <w:sz w:val="24"/>
                <w:szCs w:val="24"/>
              </w:rPr>
              <w:t>证书、信息安全保障人员CISAW证书、国际注册信息系统审计师CISA证书的，</w:t>
            </w:r>
            <w:r>
              <w:rPr>
                <w:rFonts w:hint="eastAsia"/>
                <w:sz w:val="24"/>
                <w:szCs w:val="24"/>
                <w:lang w:eastAsia="zh-CN"/>
              </w:rPr>
              <w:t>得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  <w:lang w:eastAsia="zh-CN"/>
              </w:rPr>
              <w:t>，缺项不得分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>
            <w:pPr>
              <w:bidi w:val="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2、</w:t>
            </w:r>
            <w:r>
              <w:rPr>
                <w:rFonts w:hint="eastAsia"/>
                <w:sz w:val="24"/>
                <w:szCs w:val="24"/>
                <w:lang w:eastAsia="zh-CN"/>
              </w:rPr>
              <w:t>项目技术总监同时具备PMP（项目管理专业人士资格认证）、信息系统项目管理师</w:t>
            </w:r>
            <w:r>
              <w:rPr>
                <w:rFonts w:hint="eastAsia"/>
                <w:sz w:val="24"/>
                <w:szCs w:val="24"/>
              </w:rPr>
              <w:t>（软考高级）</w:t>
            </w:r>
            <w:r>
              <w:rPr>
                <w:rFonts w:hint="eastAsia"/>
                <w:sz w:val="24"/>
                <w:szCs w:val="24"/>
                <w:lang w:eastAsia="zh-CN"/>
              </w:rPr>
              <w:t>、软件工程造价师（工信部颁发）、大数据工程类中级及以上职称</w:t>
            </w:r>
            <w:r>
              <w:rPr>
                <w:rFonts w:hint="eastAsia"/>
                <w:sz w:val="24"/>
                <w:szCs w:val="24"/>
              </w:rPr>
              <w:t>证书</w:t>
            </w:r>
            <w:r>
              <w:rPr>
                <w:rFonts w:hint="eastAsia"/>
                <w:sz w:val="24"/>
                <w:szCs w:val="24"/>
                <w:lang w:eastAsia="zh-CN"/>
              </w:rPr>
              <w:t>、信息安全保障人员CISAW证书的得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  <w:lang w:eastAsia="zh-CN"/>
              </w:rPr>
              <w:t>分，缺项不得分。</w:t>
            </w:r>
          </w:p>
          <w:p>
            <w:pPr>
              <w:bidi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、团队成员</w:t>
            </w:r>
            <w:r>
              <w:rPr>
                <w:rFonts w:hint="eastAsia"/>
                <w:sz w:val="24"/>
                <w:szCs w:val="24"/>
                <w:lang w:eastAsia="zh-CN"/>
              </w:rPr>
              <w:t>同时</w:t>
            </w:r>
            <w:r>
              <w:rPr>
                <w:rFonts w:hint="eastAsia"/>
                <w:sz w:val="24"/>
                <w:szCs w:val="24"/>
              </w:rPr>
              <w:t>具备信息系统项目管理师证书</w:t>
            </w:r>
            <w:r>
              <w:rPr>
                <w:rFonts w:hint="eastAsia"/>
                <w:sz w:val="24"/>
                <w:szCs w:val="24"/>
                <w:lang w:eastAsia="zh-CN"/>
              </w:rPr>
              <w:t>及大数据</w:t>
            </w:r>
            <w:r>
              <w:rPr>
                <w:rFonts w:hint="eastAsia"/>
                <w:sz w:val="24"/>
                <w:szCs w:val="24"/>
              </w:rPr>
              <w:t>工程类中级</w:t>
            </w:r>
            <w:r>
              <w:rPr>
                <w:rFonts w:hint="eastAsia"/>
                <w:sz w:val="24"/>
                <w:szCs w:val="24"/>
                <w:lang w:eastAsia="zh-CN"/>
              </w:rPr>
              <w:t>及以上职称</w:t>
            </w:r>
            <w:r>
              <w:rPr>
                <w:rFonts w:hint="eastAsia"/>
                <w:sz w:val="24"/>
                <w:szCs w:val="24"/>
              </w:rPr>
              <w:t>证书的，每个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分，最高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分。</w:t>
            </w:r>
          </w:p>
          <w:p>
            <w:pPr>
              <w:bidi w:val="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/>
                <w:sz w:val="24"/>
                <w:szCs w:val="24"/>
                <w:lang w:eastAsia="zh-CN"/>
              </w:rPr>
              <w:t>项目团队成员同时具有软件工程造价师（工信部颁发）、大数据工程类中级（含）以上工程师证书、信息安全保障人员证书 CISAW的，每有一人得2分，最高得4分。</w:t>
            </w:r>
          </w:p>
          <w:p>
            <w:pPr>
              <w:bidi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/>
                <w:sz w:val="24"/>
                <w:szCs w:val="24"/>
                <w:lang w:eastAsia="zh-CN"/>
              </w:rPr>
              <w:t>项目</w:t>
            </w:r>
            <w:r>
              <w:rPr>
                <w:rFonts w:hint="eastAsia"/>
                <w:sz w:val="24"/>
                <w:szCs w:val="24"/>
              </w:rPr>
              <w:t>团队成员具备</w:t>
            </w:r>
            <w:r>
              <w:rPr>
                <w:rFonts w:hint="eastAsia"/>
                <w:sz w:val="24"/>
                <w:szCs w:val="24"/>
                <w:lang w:eastAsia="zh-CN"/>
              </w:rPr>
              <w:t>大数据工程类中级（含）以上工程师证书</w:t>
            </w:r>
            <w:r>
              <w:rPr>
                <w:rFonts w:hint="eastAsia"/>
                <w:sz w:val="24"/>
                <w:szCs w:val="24"/>
              </w:rPr>
              <w:t>的，每有一个得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分，本项最高得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分。</w:t>
            </w:r>
          </w:p>
          <w:p>
            <w:pPr>
              <w:bidi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拟投入本项目的所有人员</w:t>
            </w:r>
            <w:r>
              <w:rPr>
                <w:rFonts w:hint="eastAsia"/>
                <w:sz w:val="24"/>
                <w:szCs w:val="24"/>
                <w:lang w:eastAsia="zh-CN"/>
              </w:rPr>
              <w:t>证书均</w:t>
            </w:r>
            <w:r>
              <w:rPr>
                <w:rFonts w:hint="eastAsia"/>
                <w:sz w:val="24"/>
                <w:szCs w:val="24"/>
              </w:rPr>
              <w:t>不重复计分。</w:t>
            </w:r>
          </w:p>
          <w:p>
            <w:pPr>
              <w:bidi w:val="0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（须提供证书原件或加盖公章的复印件、并提供相关人员开标前一段时间连续6个月缴纳社保证明，且复印件需装订在投标文件中，否则不得分）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3" w:type="dxa"/>
            <w:vMerge w:val="continue"/>
            <w:noWrap/>
            <w:vAlign w:val="center"/>
          </w:tcPr>
          <w:p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1584" w:type="dxa"/>
            <w:noWrap/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技术服务</w:t>
            </w:r>
            <w:r>
              <w:rPr>
                <w:rFonts w:hint="eastAsia"/>
                <w:sz w:val="24"/>
                <w:szCs w:val="24"/>
              </w:rPr>
              <w:t>方案</w:t>
            </w:r>
          </w:p>
        </w:tc>
        <w:tc>
          <w:tcPr>
            <w:tcW w:w="772" w:type="dxa"/>
            <w:noWrap/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47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6248" w:type="dxa"/>
            <w:noWrap/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</w:t>
            </w:r>
            <w:r>
              <w:rPr>
                <w:rFonts w:hint="eastAsia"/>
                <w:sz w:val="24"/>
                <w:szCs w:val="24"/>
                <w:lang w:eastAsia="zh-CN"/>
              </w:rPr>
              <w:t>对采购需求的理解与分析的完整性、准确性、针对性，包括绩效评价服务需求理解分析、工作思路、工作要点等，</w:t>
            </w:r>
            <w:r>
              <w:rPr>
                <w:rFonts w:hint="eastAsia"/>
                <w:sz w:val="24"/>
                <w:szCs w:val="24"/>
              </w:rPr>
              <w:t>评委根据响应文件进行横向比较：</w:t>
            </w:r>
            <w:r>
              <w:rPr>
                <w:rFonts w:hint="eastAsia"/>
                <w:sz w:val="24"/>
                <w:szCs w:val="24"/>
                <w:lang w:eastAsia="zh-CN"/>
              </w:rPr>
              <w:t>服务</w:t>
            </w:r>
            <w:r>
              <w:rPr>
                <w:rFonts w:hint="eastAsia"/>
                <w:sz w:val="24"/>
                <w:szCs w:val="24"/>
              </w:rPr>
              <w:t>方案满足国家规范、全面、科学合理的得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7-10</w:t>
            </w:r>
            <w:r>
              <w:rPr>
                <w:rFonts w:hint="eastAsia"/>
                <w:sz w:val="24"/>
                <w:szCs w:val="24"/>
              </w:rPr>
              <w:t>分；基本科学合理、切实可行的得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4-6</w:t>
            </w:r>
            <w:r>
              <w:rPr>
                <w:rFonts w:hint="eastAsia"/>
                <w:sz w:val="24"/>
                <w:szCs w:val="24"/>
              </w:rPr>
              <w:t>分；不合理、可行性不强的得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0-3</w:t>
            </w:r>
            <w:r>
              <w:rPr>
                <w:rFonts w:hint="eastAsia"/>
                <w:sz w:val="24"/>
                <w:szCs w:val="24"/>
              </w:rPr>
              <w:t>分；若此条缺项不得分。</w:t>
            </w:r>
          </w:p>
          <w:p>
            <w:pPr>
              <w:bidi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</w:rPr>
              <w:t>绩效评价工作档案完整详实，包括前期准备、实施评价和报告撰写各个环节的资料，评委根据响应文件进行横向比较：</w:t>
            </w:r>
            <w:r>
              <w:rPr>
                <w:rFonts w:hint="eastAsia"/>
                <w:sz w:val="24"/>
                <w:szCs w:val="24"/>
                <w:lang w:eastAsia="zh-CN"/>
              </w:rPr>
              <w:t>工作档案完整详实</w:t>
            </w:r>
            <w:r>
              <w:rPr>
                <w:rFonts w:hint="eastAsia"/>
                <w:sz w:val="24"/>
                <w:szCs w:val="24"/>
              </w:rPr>
              <w:t>、科学合理的得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7-10</w:t>
            </w:r>
            <w:r>
              <w:rPr>
                <w:rFonts w:hint="eastAsia"/>
                <w:sz w:val="24"/>
                <w:szCs w:val="24"/>
              </w:rPr>
              <w:t>分；</w:t>
            </w:r>
            <w:r>
              <w:rPr>
                <w:rFonts w:hint="eastAsia"/>
                <w:sz w:val="24"/>
                <w:szCs w:val="24"/>
                <w:lang w:eastAsia="zh-CN"/>
              </w:rPr>
              <w:t>较合理</w:t>
            </w:r>
            <w:r>
              <w:rPr>
                <w:rFonts w:hint="eastAsia"/>
                <w:sz w:val="24"/>
                <w:szCs w:val="24"/>
              </w:rPr>
              <w:t>的得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4-6</w:t>
            </w:r>
            <w:r>
              <w:rPr>
                <w:rFonts w:hint="eastAsia"/>
                <w:sz w:val="24"/>
                <w:szCs w:val="24"/>
              </w:rPr>
              <w:t>分；不合理的得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0-3</w:t>
            </w:r>
            <w:r>
              <w:rPr>
                <w:rFonts w:hint="eastAsia"/>
                <w:sz w:val="24"/>
                <w:szCs w:val="24"/>
              </w:rPr>
              <w:t>分；若此条缺项不得分。</w:t>
            </w:r>
          </w:p>
          <w:p>
            <w:pPr>
              <w:bidi w:val="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  <w:lang w:eastAsia="zh-CN"/>
              </w:rPr>
              <w:t>绩效评价服务</w:t>
            </w:r>
            <w:r>
              <w:rPr>
                <w:rFonts w:hint="eastAsia"/>
                <w:sz w:val="24"/>
                <w:szCs w:val="24"/>
              </w:rPr>
              <w:t>服务组织、规范和管理制度情况，包括组织机构、组织计划、规章规范、管理制度配备的完备性、合理性等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</w:rPr>
              <w:t>评委根据响应文件进行横向比较：方案满足国家规范、全面、科学合理的得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7-10</w:t>
            </w:r>
            <w:r>
              <w:rPr>
                <w:rFonts w:hint="eastAsia"/>
                <w:sz w:val="24"/>
                <w:szCs w:val="24"/>
              </w:rPr>
              <w:t>分；基本科学合理、切实可行的得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4-6</w:t>
            </w:r>
            <w:r>
              <w:rPr>
                <w:rFonts w:hint="eastAsia"/>
                <w:sz w:val="24"/>
                <w:szCs w:val="24"/>
              </w:rPr>
              <w:t>分；不合理、可行性不强的得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0-3</w:t>
            </w:r>
            <w:r>
              <w:rPr>
                <w:rFonts w:hint="eastAsia"/>
                <w:sz w:val="24"/>
                <w:szCs w:val="24"/>
              </w:rPr>
              <w:t>分；若此条缺项不得分。</w:t>
            </w:r>
          </w:p>
          <w:p>
            <w:pPr>
              <w:bidi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</w:rPr>
              <w:t>供应商须制定详细的</w:t>
            </w:r>
            <w:r>
              <w:rPr>
                <w:rFonts w:hint="eastAsia"/>
                <w:sz w:val="24"/>
                <w:szCs w:val="24"/>
                <w:lang w:eastAsia="zh-CN"/>
              </w:rPr>
              <w:t>技术服务</w:t>
            </w:r>
            <w:r>
              <w:rPr>
                <w:rFonts w:hint="eastAsia"/>
                <w:sz w:val="24"/>
                <w:szCs w:val="24"/>
              </w:rPr>
              <w:t>进度方案，评委根据进度方案进行评审，进度计划编制科学、优化，工期控制点设置合理、控制措施与手段可靠有力的得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7-10</w:t>
            </w:r>
            <w:r>
              <w:rPr>
                <w:rFonts w:hint="eastAsia"/>
                <w:sz w:val="24"/>
                <w:szCs w:val="24"/>
              </w:rPr>
              <w:t>分；工期控制点设置较为合理、控制措施与手段较为可靠的得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4-6</w:t>
            </w:r>
            <w:r>
              <w:rPr>
                <w:rFonts w:hint="eastAsia"/>
                <w:sz w:val="24"/>
                <w:szCs w:val="24"/>
              </w:rPr>
              <w:t>分；工期控制点设置不合理、控制措施与手段不可靠的得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0-3</w:t>
            </w:r>
            <w:r>
              <w:rPr>
                <w:rFonts w:hint="eastAsia"/>
                <w:sz w:val="24"/>
                <w:szCs w:val="24"/>
              </w:rPr>
              <w:t>分；若此条缺项不得分。</w:t>
            </w:r>
          </w:p>
          <w:p>
            <w:pPr>
              <w:bidi w:val="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  <w:lang w:eastAsia="zh-CN"/>
              </w:rPr>
              <w:t>）技术服务的质量控制方案得当，成果完全符合国家规范要求，质量控制方案完善，可行，有针对性</w:t>
            </w:r>
            <w:r>
              <w:rPr>
                <w:rFonts w:hint="eastAsia"/>
                <w:sz w:val="24"/>
                <w:szCs w:val="24"/>
              </w:rPr>
              <w:t>的得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</w:rPr>
              <w:t>措施较为可靠的得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</w:rPr>
              <w:t>措施</w:t>
            </w:r>
            <w:r>
              <w:rPr>
                <w:rFonts w:hint="eastAsia"/>
                <w:sz w:val="24"/>
                <w:szCs w:val="24"/>
                <w:lang w:eastAsia="zh-CN"/>
              </w:rPr>
              <w:t>不</w:t>
            </w:r>
            <w:r>
              <w:rPr>
                <w:rFonts w:hint="eastAsia"/>
                <w:sz w:val="24"/>
                <w:szCs w:val="24"/>
              </w:rPr>
              <w:t>可靠的得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  <w:p>
            <w:pPr>
              <w:bidi w:val="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  <w:lang w:eastAsia="zh-CN"/>
              </w:rPr>
              <w:t>）对投标人提供应急预案是否完善、详细、可行，能够指导处理紧急情况，评委根据响应文件进行综合评价：预案完善、详细、可行的得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3分，</w:t>
            </w:r>
            <w:r>
              <w:rPr>
                <w:rFonts w:hint="eastAsia"/>
                <w:sz w:val="24"/>
                <w:szCs w:val="24"/>
                <w:lang w:eastAsia="zh-CN"/>
              </w:rPr>
              <w:t>预案较完善、较详细、较可行的得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2分，</w:t>
            </w:r>
            <w:r>
              <w:rPr>
                <w:rFonts w:hint="eastAsia"/>
                <w:sz w:val="24"/>
                <w:szCs w:val="24"/>
                <w:lang w:eastAsia="zh-CN"/>
              </w:rPr>
              <w:t>预案不完善、不详细、不可行的得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1分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  <w:p>
            <w:pPr>
              <w:bidi w:val="0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（以上内容不能缺项，否则不得分。）</w:t>
            </w:r>
          </w:p>
        </w:tc>
      </w:tr>
    </w:tbl>
    <w:p>
      <w:pPr>
        <w:spacing w:after="0" w:line="357" w:lineRule="auto"/>
        <w:sectPr>
          <w:footerReference r:id="rId3" w:type="default"/>
          <w:pgSz w:w="11910" w:h="16840"/>
          <w:pgMar w:top="1440" w:right="1800" w:bottom="1440" w:left="1800" w:header="0" w:footer="1323" w:gutter="0"/>
          <w:cols w:space="720" w:num="1"/>
        </w:sectPr>
      </w:pPr>
    </w:p>
    <w:p/>
    <w:sectPr>
      <w:pgSz w:w="11906" w:h="16838"/>
      <w:pgMar w:top="2098" w:right="1418" w:bottom="1701" w:left="1588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12"/>
      </w:rPr>
    </w:pPr>
    <w:r>
      <w:rPr>
        <w:sz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XAyHIUAgAAFQQAAA4AAABkcnMvZTJvRG9jLnhtbK1Ty47TMBTdI/EP&#10;lvc0adG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RcDIc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9471DF"/>
    <w:rsid w:val="00E51FBF"/>
    <w:rsid w:val="7294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360" w:lineRule="auto"/>
      <w:ind w:left="0" w:right="0"/>
      <w:jc w:val="left"/>
    </w:pPr>
    <w:rPr>
      <w:rFonts w:ascii="宋体" w:hAnsi="宋体" w:eastAsia="宋体" w:cs="宋体"/>
      <w:sz w:val="28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360" w:lineRule="auto"/>
      <w:outlineLvl w:val="0"/>
    </w:pPr>
    <w:rPr>
      <w:rFonts w:ascii="宋体" w:hAnsi="宋体" w:eastAsia="宋体" w:cs="宋体"/>
      <w:b/>
      <w:bCs/>
      <w:kern w:val="44"/>
      <w:sz w:val="32"/>
      <w:szCs w:val="44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420" w:firstLineChars="200"/>
    </w:pPr>
  </w:style>
  <w:style w:type="paragraph" w:styleId="4">
    <w:name w:val="Body Text"/>
    <w:basedOn w:val="1"/>
    <w:next w:val="5"/>
    <w:qFormat/>
    <w:uiPriority w:val="0"/>
    <w:pPr>
      <w:spacing w:after="120" w:afterLines="0" w:afterAutospacing="0"/>
    </w:pPr>
  </w:style>
  <w:style w:type="paragraph" w:styleId="5">
    <w:name w:val="Body Text First Indent"/>
    <w:basedOn w:val="4"/>
    <w:next w:val="6"/>
    <w:qFormat/>
    <w:uiPriority w:val="0"/>
    <w:pPr>
      <w:adjustRightInd w:val="0"/>
      <w:spacing w:after="120" w:line="240" w:lineRule="auto"/>
      <w:ind w:firstLine="420" w:firstLineChars="100"/>
      <w:jc w:val="left"/>
      <w:textAlignment w:val="baseline"/>
    </w:pPr>
    <w:rPr>
      <w:rFonts w:ascii="宋体" w:eastAsia="宋体"/>
      <w:b/>
      <w:bCs/>
      <w:kern w:val="44"/>
      <w:szCs w:val="24"/>
    </w:rPr>
  </w:style>
  <w:style w:type="paragraph" w:styleId="6">
    <w:name w:val="toc 6"/>
    <w:basedOn w:val="1"/>
    <w:next w:val="1"/>
    <w:qFormat/>
    <w:uiPriority w:val="0"/>
    <w:pPr>
      <w:ind w:left="1701" w:firstLine="720" w:firstLineChars="300"/>
      <w:jc w:val="left"/>
    </w:pPr>
    <w:rPr>
      <w:rFonts w:ascii="宋体" w:hAnsi="宋体" w:eastAsia="宋体" w:cs="宋体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2022-04-06T02:33:00Z</dcterms:created>
  <dc:creator>宿州市数据资源管理局</dc:creator>
  <cp:lastModifiedBy>宿州市数据资源管理局</cp:lastModifiedBy>
  <dcterms:modified xsi:type="dcterms:W3CDTF">2022-04-06T02:33:16Z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